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media/image1.png" ContentType="image/png"/>
  <Override PartName="/word/media/image2.png" ContentType="image/pn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text31"/>
        <w:numPr>
          <w:ilvl w:val="0"/>
          <w:numId w:val="4"/>
        </w:numPr>
        <w:shd w:val="clear" w:color="auto" w:fill="auto"/>
        <w:spacing w:lineRule="auto" w:line="240" w:before="0" w:after="120"/>
        <w:rPr>
          <w:rFonts w:ascii="Verdana" w:hAnsi="Verdana"/>
          <w:sz w:val="20"/>
          <w:szCs w:val="20"/>
        </w:rPr>
      </w:pPr>
      <w:r>
        <w:rPr>
          <w:rFonts w:ascii="Verdana" w:hAnsi="Verdana"/>
          <w:sz w:val="20"/>
        </w:rPr>
        <w:t>O que fazer em caso de infração do direito europeu?</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Se é nacional de um país da União Europeia, vive num destes países ou tem uma empresa na UE, o direito europeu confere-lhe um certo número de direitos.</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Para ficar a conhecer melhor os direitos que lhe assistem, pode:</w:t>
      </w:r>
    </w:p>
    <w:p>
      <w:pPr>
        <w:pStyle w:val="Bodytext22"/>
        <w:numPr>
          <w:ilvl w:val="0"/>
          <w:numId w:val="1"/>
        </w:numPr>
        <w:shd w:val="clear" w:color="auto" w:fill="auto"/>
        <w:tabs>
          <w:tab w:val="clear" w:pos="720"/>
          <w:tab w:val="left" w:pos="759" w:leader="none"/>
        </w:tabs>
        <w:spacing w:lineRule="auto" w:line="240" w:before="0" w:after="120"/>
        <w:ind w:left="760" w:hanging="360"/>
        <w:jc w:val="both"/>
        <w:rPr/>
      </w:pPr>
      <w:hyperlink r:id="rId2">
        <w:r>
          <w:rPr>
            <w:rStyle w:val="Bodytext21"/>
            <w:rFonts w:ascii="Verdana" w:hAnsi="Verdana"/>
            <w:sz w:val="20"/>
          </w:rPr>
          <w:t>Fazer uma pergunta sobre a UE (Europe Direct)</w:t>
        </w:r>
      </w:hyperlink>
    </w:p>
    <w:p>
      <w:pPr>
        <w:pStyle w:val="Bodytext22"/>
        <w:numPr>
          <w:ilvl w:val="0"/>
          <w:numId w:val="1"/>
        </w:numPr>
        <w:shd w:val="clear" w:color="auto" w:fill="auto"/>
        <w:tabs>
          <w:tab w:val="clear" w:pos="720"/>
          <w:tab w:val="left" w:pos="759" w:leader="none"/>
        </w:tabs>
        <w:spacing w:lineRule="auto" w:line="240" w:before="0" w:after="120"/>
        <w:ind w:left="760" w:hanging="360"/>
        <w:jc w:val="both"/>
        <w:rPr/>
      </w:pPr>
      <w:hyperlink r:id="rId3">
        <w:r>
          <w:rPr>
            <w:rStyle w:val="Bodytext21"/>
            <w:rFonts w:ascii="Verdana" w:hAnsi="Verdana"/>
            <w:sz w:val="20"/>
            <w:u w:val="single"/>
          </w:rPr>
          <w:t>Informar-se sobre quais são os seus direitos quando viaja na UE (A sua Europa)</w:t>
        </w:r>
      </w:hyperlink>
    </w:p>
    <w:p>
      <w:pPr>
        <w:pStyle w:val="Bodytext22"/>
        <w:numPr>
          <w:ilvl w:val="0"/>
          <w:numId w:val="1"/>
        </w:numPr>
        <w:shd w:val="clear" w:color="auto" w:fill="auto"/>
        <w:tabs>
          <w:tab w:val="clear" w:pos="720"/>
          <w:tab w:val="left" w:pos="759" w:leader="none"/>
        </w:tabs>
        <w:spacing w:lineRule="auto" w:line="240" w:before="0" w:after="120"/>
        <w:ind w:left="760" w:hanging="360"/>
        <w:jc w:val="both"/>
        <w:rPr>
          <w:rStyle w:val="Bodytext21"/>
        </w:rPr>
      </w:pPr>
      <w:r>
        <w:rPr>
          <w:rStyle w:val="Bodytext21"/>
          <w:rFonts w:ascii="Verdana" w:hAnsi="Verdana"/>
          <w:sz w:val="20"/>
          <w:u w:val="single"/>
        </w:rPr>
        <w:t>Fazer uma pergunta sobre os seus direitos numa situação concreta na UE (A sua Europa – Aconselhamento)</w:t>
      </w:r>
    </w:p>
    <w:p>
      <w:pPr>
        <w:pStyle w:val="Bodytext22"/>
        <w:numPr>
          <w:ilvl w:val="0"/>
          <w:numId w:val="1"/>
        </w:numPr>
        <w:shd w:val="clear" w:color="auto" w:fill="auto"/>
        <w:tabs>
          <w:tab w:val="clear" w:pos="720"/>
          <w:tab w:val="left" w:pos="759" w:leader="none"/>
        </w:tabs>
        <w:spacing w:lineRule="auto" w:line="240" w:before="0" w:after="120"/>
        <w:ind w:left="760" w:hanging="360"/>
        <w:jc w:val="both"/>
        <w:rPr/>
      </w:pPr>
      <w:hyperlink r:id="rId4">
        <w:r>
          <w:rPr>
            <w:rStyle w:val="LigaodeInternet"/>
            <w:b w:val="false"/>
          </w:rPr>
          <w:t>Informar-se sobre os sistemas nacionais de justiça em toda a UE (Portal Europeu da Justiça)</w:t>
        </w:r>
      </w:hyperlink>
    </w:p>
    <w:p>
      <w:pPr>
        <w:pStyle w:val="Bodytext22"/>
        <w:shd w:val="clear" w:color="auto" w:fill="auto"/>
        <w:spacing w:lineRule="auto" w:line="240" w:before="0" w:after="120"/>
        <w:ind w:hanging="0"/>
        <w:jc w:val="both"/>
        <w:rPr>
          <w:rStyle w:val="Bodytext21"/>
        </w:rPr>
      </w:pPr>
      <w:r>
        <w:rPr/>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Se considera que os direitos que lhe assistem ao abrigo do direito europeu não estão a ser respeitados pelas autoridades de um dado país da União Europeia, deve, antes de mais, dirigir</w:t>
      </w:r>
      <w:r>
        <w:rPr/>
        <w:noBreakHyphen/>
      </w:r>
      <w:r>
        <w:rPr>
          <w:rFonts w:ascii="Verdana" w:hAnsi="Verdana"/>
          <w:b w:val="false"/>
          <w:sz w:val="20"/>
        </w:rPr>
        <w:t>se aos organismos ou entidades nacionais competentes. Frequentemente, este é o meio mais rápido e eficaz de resolver um problema deste tipo.</w:t>
      </w:r>
    </w:p>
    <w:p>
      <w:pPr>
        <w:pStyle w:val="Bodytext22"/>
        <w:shd w:val="clear" w:color="auto" w:fill="auto"/>
        <w:spacing w:lineRule="auto" w:line="240" w:before="360" w:after="120"/>
        <w:ind w:hanging="0"/>
        <w:jc w:val="both"/>
        <w:rPr>
          <w:rFonts w:ascii="Verdana" w:hAnsi="Verdana"/>
          <w:sz w:val="20"/>
          <w:szCs w:val="20"/>
        </w:rPr>
      </w:pPr>
      <w:r>
        <w:rPr>
          <w:rFonts w:ascii="Verdana" w:hAnsi="Verdana"/>
          <w:sz w:val="20"/>
        </w:rPr>
        <w:t>Meios de recurso disponíveis a nível nacional</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Tal como previsto nos Tratados, as autoridades públicas e os tribunais nacionais são os principais responsáveis pela aplicação do direito europeu.</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Por conseguinte, é do seu interesse utilizar todos os meios de recurso possíveis a nível nacional (meios administrativos e/ou mecanismos de mediação extrajudicial).</w:t>
      </w:r>
    </w:p>
    <w:p>
      <w:pPr>
        <w:pStyle w:val="Bodytext22"/>
        <w:shd w:val="clear" w:color="auto" w:fill="auto"/>
        <w:spacing w:lineRule="auto" w:line="240" w:before="0" w:after="120"/>
        <w:ind w:hanging="0"/>
        <w:jc w:val="both"/>
        <w:rPr/>
      </w:pPr>
      <w:r>
        <w:rPr>
          <w:rFonts w:ascii="Verdana" w:hAnsi="Verdana"/>
          <w:b w:val="false"/>
          <w:sz w:val="20"/>
        </w:rPr>
        <w:t xml:space="preserve">Em função do sistema de cada país, pode também apresentar o caso ao </w:t>
      </w:r>
      <w:hyperlink r:id="rId5">
        <w:r>
          <w:rPr>
            <w:rStyle w:val="ListLabel32"/>
            <w:rFonts w:ascii="Verdana" w:hAnsi="Verdana"/>
            <w:b w:val="false"/>
            <w:bCs w:val="false"/>
            <w:color w:val="0000FF"/>
            <w:sz w:val="20"/>
            <w:u w:val="single"/>
          </w:rPr>
          <w:t>provedor de justiça nacional</w:t>
        </w:r>
      </w:hyperlink>
      <w:r>
        <w:rPr>
          <w:rFonts w:ascii="Verdana" w:hAnsi="Verdana"/>
          <w:b w:val="false"/>
          <w:sz w:val="20"/>
        </w:rPr>
        <w:t xml:space="preserve"> ou a um </w:t>
      </w:r>
      <w:hyperlink r:id="rId6">
        <w:r>
          <w:rPr>
            <w:rStyle w:val="Bodytext21"/>
            <w:rFonts w:ascii="Verdana" w:hAnsi="Verdana"/>
            <w:sz w:val="20"/>
          </w:rPr>
          <w:t>provedor de justiça regional</w:t>
        </w:r>
      </w:hyperlink>
      <w:r>
        <w:rPr/>
        <w:t>.</w:t>
      </w:r>
    </w:p>
    <w:p>
      <w:pPr>
        <w:pStyle w:val="Bodytext22"/>
        <w:shd w:val="clear" w:color="auto" w:fill="auto"/>
        <w:spacing w:lineRule="auto" w:line="240" w:before="0" w:after="120"/>
        <w:ind w:hanging="0"/>
        <w:jc w:val="both"/>
        <w:rPr/>
      </w:pPr>
      <w:r>
        <w:rPr>
          <w:rFonts w:ascii="Verdana" w:hAnsi="Verdana"/>
          <w:b w:val="false"/>
          <w:sz w:val="20"/>
        </w:rPr>
        <w:t xml:space="preserve">Pode ainda submeter a questão a um tribunal do país onde se registou o problema. </w:t>
      </w:r>
      <w:hyperlink r:id="rId7">
        <w:r>
          <w:rPr>
            <w:rStyle w:val="LigaodeInternet"/>
            <w:rFonts w:ascii="Verdana" w:hAnsi="Verdana"/>
            <w:b w:val="false"/>
            <w:sz w:val="20"/>
          </w:rPr>
          <w:t>Informe-se sobre os sistemas judiciais nacionais e sobre como recorrer aos tribunais nos vários países.</w:t>
        </w:r>
      </w:hyperlink>
      <w:r>
        <w:rPr>
          <w:rStyle w:val="Bodytext21"/>
          <w:rFonts w:ascii="Verdana" w:hAnsi="Verdana"/>
          <w:sz w:val="20"/>
        </w:rPr>
        <w:t xml:space="preserve"> </w:t>
      </w:r>
      <w:r>
        <w:rPr>
          <w:rFonts w:ascii="Verdana" w:hAnsi="Verdana"/>
          <w:b w:val="false"/>
          <w:sz w:val="20"/>
        </w:rPr>
        <w:t>Se a resolução do problema implicar a anulação de uma decisão nacional, tenha presente que só os tribunais nacionais o podem fazer. Se pretender obter uma indemnização por perdas e danos, só os tribunais nacionais têm o poder de, se apropriado, condenar as autoridades nacionais a indemnizar os particulares pelos prejuízos sofridos devido a uma infração do direito europeu.</w:t>
      </w:r>
    </w:p>
    <w:p>
      <w:pPr>
        <w:pStyle w:val="Bodytext22"/>
        <w:shd w:val="clear" w:color="auto" w:fill="auto"/>
        <w:spacing w:lineRule="auto" w:line="240" w:before="360" w:after="120"/>
        <w:ind w:hanging="0"/>
        <w:jc w:val="both"/>
        <w:rPr>
          <w:rFonts w:ascii="Verdana" w:hAnsi="Verdana"/>
          <w:sz w:val="20"/>
          <w:szCs w:val="20"/>
        </w:rPr>
      </w:pPr>
      <w:r>
        <w:rPr>
          <w:rFonts w:ascii="Verdana" w:hAnsi="Verdana"/>
          <w:sz w:val="20"/>
        </w:rPr>
        <w:t>Outros instrumentos de resolução de litígios</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Em alternativa, pode:</w:t>
      </w:r>
    </w:p>
    <w:p>
      <w:pPr>
        <w:pStyle w:val="Bodytext22"/>
        <w:numPr>
          <w:ilvl w:val="0"/>
          <w:numId w:val="1"/>
        </w:numPr>
        <w:shd w:val="clear" w:color="auto" w:fill="auto"/>
        <w:tabs>
          <w:tab w:val="clear" w:pos="720"/>
          <w:tab w:val="left" w:pos="759" w:leader="none"/>
        </w:tabs>
        <w:spacing w:lineRule="auto" w:line="240" w:before="0" w:after="120"/>
        <w:ind w:left="760" w:hanging="360"/>
        <w:jc w:val="both"/>
        <w:rPr>
          <w:rFonts w:ascii="Verdana" w:hAnsi="Verdana"/>
          <w:b w:val="false"/>
          <w:b w:val="false"/>
          <w:sz w:val="20"/>
          <w:szCs w:val="20"/>
        </w:rPr>
      </w:pPr>
      <w:r>
        <w:rPr>
          <w:rFonts w:ascii="Verdana" w:hAnsi="Verdana"/>
          <w:sz w:val="20"/>
        </w:rPr>
        <w:t>contactar o SOLVIT</w:t>
      </w:r>
      <w:r>
        <w:rPr>
          <w:rFonts w:ascii="Verdana" w:hAnsi="Verdana"/>
          <w:b w:val="false"/>
          <w:sz w:val="20"/>
        </w:rPr>
        <w:t xml:space="preserve"> – trata-se de um serviço assegurado pelas administrações nacionais, que se ocupa da resolução de problemas transnacionais relacionados com a aplicação incorreta do direito europeu pelas administrações públicas nacionais no domínio do mercado interno. Há um centro SOLVIT em todos os países da UE, assim como na Noruega, na Islândia e no Listenstaine. O seu país tentará resolver o problema juntamente com o outro país implicado. Recorrer aos serviços do SOLVIT pode demorar menos tempo do que apresentar uma denúncia formal à Comissão Europeia e pode ser um meio eficaz para resolver um problema específico. Se o recurso ao SOLVIT não resolver o problema ou se não estiver de acordo com a solução proposta, pode dirigir-se a um tribunal nacional ou apresentar uma denúncia formal à Comissão Europeia. Atenção: comunicar o problema ao SOLVIT não interrompe a contagem dos prazos para recorrer aos tribunais nacionais.</w:t>
      </w:r>
    </w:p>
    <w:p>
      <w:pPr>
        <w:pStyle w:val="Bodytext22"/>
        <w:shd w:val="clear" w:color="auto" w:fill="auto"/>
        <w:spacing w:lineRule="auto" w:line="240" w:before="0" w:after="120"/>
        <w:ind w:left="720" w:hanging="0"/>
        <w:jc w:val="both"/>
        <w:rPr/>
      </w:pPr>
      <w:hyperlink r:id="rId8">
        <w:r>
          <w:rPr>
            <w:rStyle w:val="Bodytext21"/>
            <w:rFonts w:ascii="Verdana" w:hAnsi="Verdana"/>
            <w:sz w:val="20"/>
          </w:rPr>
          <w:t>Comunicar um problema ao SOLVIT</w:t>
        </w:r>
      </w:hyperlink>
    </w:p>
    <w:p>
      <w:pPr>
        <w:pStyle w:val="Bodytext22"/>
        <w:numPr>
          <w:ilvl w:val="0"/>
          <w:numId w:val="1"/>
        </w:numPr>
        <w:shd w:val="clear" w:color="auto" w:fill="auto"/>
        <w:tabs>
          <w:tab w:val="clear" w:pos="720"/>
          <w:tab w:val="left" w:pos="755" w:leader="none"/>
        </w:tabs>
        <w:spacing w:lineRule="auto" w:line="240" w:before="0" w:after="120"/>
        <w:ind w:left="760" w:hanging="360"/>
        <w:jc w:val="both"/>
        <w:rPr>
          <w:rFonts w:ascii="Verdana" w:hAnsi="Verdana"/>
          <w:b w:val="false"/>
          <w:b w:val="false"/>
          <w:sz w:val="20"/>
          <w:szCs w:val="20"/>
        </w:rPr>
      </w:pPr>
      <w:r>
        <w:rPr>
          <w:rFonts w:ascii="Verdana" w:hAnsi="Verdana"/>
          <w:sz w:val="20"/>
        </w:rPr>
        <w:t>contactar um Centro Europeu do Consumidor</w:t>
      </w:r>
      <w:r>
        <w:rPr>
          <w:rFonts w:ascii="Verdana" w:hAnsi="Verdana"/>
          <w:b w:val="false"/>
          <w:sz w:val="20"/>
        </w:rPr>
        <w:t xml:space="preserve"> – estes centros estão ligados em rede à escala europeia e colaboram entre si para ajudar a resolver litígios entre consumidores e comerciantes situados em diferentes países da UE, bem como na Islândia, no Listenstaine e na Noruega.</w:t>
      </w:r>
    </w:p>
    <w:p>
      <w:pPr>
        <w:pStyle w:val="Bodytext22"/>
        <w:shd w:val="clear" w:color="auto" w:fill="auto"/>
        <w:spacing w:lineRule="auto" w:line="240" w:before="0" w:after="120"/>
        <w:ind w:firstLine="720"/>
        <w:jc w:val="both"/>
        <w:rPr/>
      </w:pPr>
      <w:hyperlink r:id="rId9">
        <w:r>
          <w:rPr>
            <w:rStyle w:val="Bodytext21"/>
            <w:rFonts w:ascii="Verdana" w:hAnsi="Verdana"/>
            <w:sz w:val="20"/>
          </w:rPr>
          <w:t>Comunicar um problema a um Centro Europeu do Consumidor</w:t>
        </w:r>
      </w:hyperlink>
    </w:p>
    <w:p>
      <w:pPr>
        <w:pStyle w:val="Bodytext22"/>
        <w:numPr>
          <w:ilvl w:val="0"/>
          <w:numId w:val="1"/>
        </w:numPr>
        <w:shd w:val="clear" w:color="auto" w:fill="auto"/>
        <w:tabs>
          <w:tab w:val="clear" w:pos="720"/>
          <w:tab w:val="left" w:pos="755" w:leader="none"/>
        </w:tabs>
        <w:spacing w:lineRule="auto" w:line="240" w:before="0" w:after="120"/>
        <w:ind w:left="760" w:hanging="360"/>
        <w:jc w:val="both"/>
        <w:rPr>
          <w:rFonts w:ascii="Verdana" w:hAnsi="Verdana"/>
          <w:b w:val="false"/>
          <w:b w:val="false"/>
          <w:sz w:val="20"/>
          <w:szCs w:val="20"/>
        </w:rPr>
      </w:pPr>
      <w:r>
        <w:rPr>
          <w:rFonts w:ascii="Verdana" w:hAnsi="Verdana"/>
          <w:sz w:val="20"/>
        </w:rPr>
        <w:t>contactar a rede FIN-Net</w:t>
      </w:r>
      <w:r>
        <w:rPr>
          <w:rFonts w:ascii="Verdana" w:hAnsi="Verdana"/>
          <w:b w:val="false"/>
          <w:sz w:val="20"/>
        </w:rPr>
        <w:t xml:space="preserve"> – esta rede de resolução extrajudicial de litígios financeiros nos países da UE, na Islândia, no Listenstaine e na Noruega, resolve litígios entre consumidores e prestadores de serviços financeiros.</w:t>
      </w:r>
    </w:p>
    <w:p>
      <w:pPr>
        <w:pStyle w:val="Bodytext22"/>
        <w:shd w:val="clear" w:color="auto" w:fill="auto"/>
        <w:spacing w:lineRule="auto" w:line="240" w:before="0" w:after="120"/>
        <w:ind w:firstLine="720"/>
        <w:jc w:val="both"/>
        <w:rPr/>
      </w:pPr>
      <w:hyperlink r:id="rId10">
        <w:r>
          <w:rPr>
            <w:rStyle w:val="Bodytext21"/>
            <w:rFonts w:ascii="Verdana" w:hAnsi="Verdana"/>
            <w:sz w:val="20"/>
          </w:rPr>
          <w:t>Comunicar um problema à rede FIN-Net</w:t>
        </w:r>
      </w:hyperlink>
    </w:p>
    <w:p>
      <w:pPr>
        <w:pStyle w:val="Bodytext22"/>
        <w:shd w:val="clear" w:color="auto" w:fill="auto"/>
        <w:spacing w:lineRule="auto" w:line="240" w:before="360" w:after="120"/>
        <w:ind w:hanging="0"/>
        <w:jc w:val="both"/>
        <w:rPr>
          <w:rFonts w:ascii="Verdana" w:hAnsi="Verdana"/>
          <w:sz w:val="20"/>
          <w:szCs w:val="20"/>
        </w:rPr>
      </w:pPr>
      <w:r>
        <w:rPr>
          <w:rFonts w:ascii="Verdana" w:hAnsi="Verdana"/>
          <w:sz w:val="20"/>
        </w:rPr>
        <w:t>Meios disponíveis a nível da UE</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Apesar de, em princípio, poder fazer valer mais facilmente os seus direitos no país onde vive, a União Europeia também pode ajudá-lo:</w:t>
      </w:r>
    </w:p>
    <w:p>
      <w:pPr>
        <w:pStyle w:val="Bodytext22"/>
        <w:numPr>
          <w:ilvl w:val="0"/>
          <w:numId w:val="1"/>
        </w:numPr>
        <w:shd w:val="clear" w:color="auto" w:fill="auto"/>
        <w:tabs>
          <w:tab w:val="clear" w:pos="720"/>
          <w:tab w:val="left" w:pos="755" w:leader="none"/>
        </w:tabs>
        <w:spacing w:lineRule="auto" w:line="240" w:before="0" w:after="120"/>
        <w:ind w:left="426" w:hanging="0"/>
        <w:jc w:val="both"/>
        <w:rPr>
          <w:rFonts w:ascii="Verdana" w:hAnsi="Verdana"/>
          <w:sz w:val="20"/>
          <w:szCs w:val="20"/>
        </w:rPr>
      </w:pPr>
      <w:r>
        <w:rPr>
          <w:rFonts w:ascii="Verdana" w:hAnsi="Verdana"/>
          <w:sz w:val="20"/>
        </w:rPr>
        <w:t>Comissão das Petições do Parlamento Europeu</w:t>
      </w:r>
    </w:p>
    <w:p>
      <w:pPr>
        <w:pStyle w:val="Bodytext22"/>
        <w:shd w:val="clear" w:color="auto" w:fill="auto"/>
        <w:spacing w:lineRule="auto" w:line="240" w:before="0" w:after="120"/>
        <w:ind w:hanging="0"/>
        <w:jc w:val="both"/>
        <w:rPr/>
      </w:pPr>
      <w:r>
        <w:rPr>
          <w:rFonts w:ascii="Verdana" w:hAnsi="Verdana"/>
          <w:b w:val="false"/>
          <w:sz w:val="20"/>
        </w:rPr>
        <w:t xml:space="preserve">Ao abrigo do </w:t>
      </w:r>
      <w:hyperlink r:id="rId11">
        <w:r>
          <w:rPr>
            <w:rStyle w:val="ListLabel32"/>
            <w:rFonts w:ascii="Verdana" w:hAnsi="Verdana"/>
            <w:b w:val="false"/>
            <w:bCs w:val="false"/>
            <w:color w:val="0000FF"/>
            <w:sz w:val="20"/>
            <w:u w:val="single"/>
          </w:rPr>
          <w:t>artigo 227.º do TFUE</w:t>
        </w:r>
      </w:hyperlink>
      <w:r>
        <w:rPr>
          <w:rFonts w:ascii="Verdana" w:hAnsi="Verdana"/>
          <w:b w:val="false"/>
          <w:sz w:val="20"/>
        </w:rPr>
        <w:t xml:space="preserve">, tem o direito de apresentar uma petição ao Parlamento Europeu sobre a aplicação do direito europeu. Pode apresentar a sua petição por correio postal ou em linha, no </w:t>
      </w:r>
      <w:hyperlink r:id="rId12">
        <w:r>
          <w:rPr>
            <w:rStyle w:val="LigaodeInternet"/>
            <w:rFonts w:ascii="Verdana" w:hAnsi="Verdana"/>
            <w:b w:val="false"/>
            <w:sz w:val="20"/>
          </w:rPr>
          <w:t>sítio do Parlamento Europeu</w:t>
        </w:r>
      </w:hyperlink>
      <w:r>
        <w:rPr>
          <w:rFonts w:ascii="Verdana" w:hAnsi="Verdana"/>
          <w:b w:val="false"/>
          <w:sz w:val="20"/>
        </w:rPr>
        <w:t>.</w:t>
      </w:r>
      <w:hyperlink r:id="rId13">
        <w:r>
          <w:rPr>
            <w:rStyle w:val="ListLabel34"/>
            <w:rFonts w:ascii="Verdana" w:hAnsi="Verdana"/>
            <w:b w:val="false"/>
            <w:sz w:val="20"/>
          </w:rPr>
          <w:t xml:space="preserve"> </w:t>
        </w:r>
      </w:hyperlink>
      <w:r>
        <w:rPr>
          <w:rFonts w:ascii="Verdana" w:hAnsi="Verdana"/>
          <w:b w:val="false"/>
          <w:sz w:val="20"/>
        </w:rPr>
        <w:t xml:space="preserve">Para mais informações sobre as petições ao Parlamento Europeu, consulte o </w:t>
      </w:r>
      <w:hyperlink r:id="rId14">
        <w:r>
          <w:rPr>
            <w:rStyle w:val="ListLabel32"/>
            <w:rFonts w:ascii="Verdana" w:hAnsi="Verdana"/>
            <w:b w:val="false"/>
            <w:bCs w:val="false"/>
            <w:color w:val="0000FF"/>
            <w:sz w:val="20"/>
            <w:u w:val="single"/>
          </w:rPr>
          <w:t>sítio sobre cidadania da UE e livre circulação</w:t>
        </w:r>
      </w:hyperlink>
      <w:r>
        <w:rPr>
          <w:rFonts w:ascii="Verdana" w:hAnsi="Verdana"/>
          <w:b w:val="false"/>
          <w:sz w:val="20"/>
        </w:rPr>
        <w:t>.</w:t>
      </w:r>
    </w:p>
    <w:p>
      <w:pPr>
        <w:pStyle w:val="Bodytext22"/>
        <w:numPr>
          <w:ilvl w:val="0"/>
          <w:numId w:val="1"/>
        </w:numPr>
        <w:shd w:val="clear" w:color="auto" w:fill="auto"/>
        <w:tabs>
          <w:tab w:val="clear" w:pos="720"/>
          <w:tab w:val="left" w:pos="755" w:leader="none"/>
        </w:tabs>
        <w:spacing w:lineRule="auto" w:line="240" w:before="0" w:after="120"/>
        <w:ind w:left="426" w:hanging="0"/>
        <w:jc w:val="both"/>
        <w:rPr>
          <w:rFonts w:ascii="Verdana" w:hAnsi="Verdana"/>
          <w:sz w:val="20"/>
          <w:szCs w:val="20"/>
        </w:rPr>
      </w:pPr>
      <w:r>
        <w:rPr>
          <w:rFonts w:ascii="Verdana" w:hAnsi="Verdana"/>
          <w:sz w:val="20"/>
        </w:rPr>
        <w:t>Comissão Europeia</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Pode dirigir-se à Comissão Europeia a propósito de qualquer medida (ato legislativo ou administrativo), omissão ou ação de um país da União Europeia que considere contrária ao direito europeu.</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A Comissão Europeia só pode atuar em função da sua denúncia se esta disser respeito a uma infração do direito europeu por parte das autoridades de um país da UE. Se a denúncia se referir à atuação de um particular ou de um organismo privado (a menos que possa demonstrar que as autoridades nacionais estão de algum modo implicadas), deve procurar resolver o problema a nível nacional (recorrendo aos tribunais ou a outras formas de resolução de litígios). A Comissão Europeia não pode ocupar-se de assuntos que digam respeito unicamente a particulares ou organismos privados e que não impliquem autoridades públicas.</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Quando não se é especialista em direito europeu, pode ser difícil identificar exatamente o ato legislativo que foi objeto de infração. Pode obter aconselhamento na sua própria língua de forma rápida e informal junto do serviço A sua Europa – Aconselhamento.</w:t>
      </w:r>
    </w:p>
    <w:p>
      <w:pPr>
        <w:pStyle w:val="Bodytext22"/>
        <w:numPr>
          <w:ilvl w:val="0"/>
          <w:numId w:val="1"/>
        </w:numPr>
        <w:shd w:val="clear" w:color="auto" w:fill="auto"/>
        <w:tabs>
          <w:tab w:val="clear" w:pos="720"/>
          <w:tab w:val="left" w:pos="755" w:leader="none"/>
        </w:tabs>
        <w:spacing w:lineRule="auto" w:line="240" w:before="0" w:after="120"/>
        <w:ind w:left="426" w:hanging="0"/>
        <w:jc w:val="both"/>
        <w:rPr>
          <w:rFonts w:ascii="Verdana" w:hAnsi="Verdana"/>
          <w:sz w:val="20"/>
          <w:szCs w:val="20"/>
        </w:rPr>
      </w:pPr>
      <w:r>
        <w:rPr>
          <w:rFonts w:ascii="Verdana" w:hAnsi="Verdana"/>
          <w:sz w:val="20"/>
        </w:rPr>
        <w:t>Provedor de Justiça Europeu</w:t>
      </w:r>
    </w:p>
    <w:p>
      <w:pPr>
        <w:pStyle w:val="Bodytext22"/>
        <w:shd w:val="clear" w:color="auto" w:fill="auto"/>
        <w:spacing w:lineRule="auto" w:line="240" w:before="0" w:after="120"/>
        <w:ind w:hanging="0"/>
        <w:jc w:val="both"/>
        <w:rPr/>
      </w:pPr>
      <w:r>
        <w:rPr>
          <w:rFonts w:ascii="Verdana" w:hAnsi="Verdana"/>
          <w:b w:val="false"/>
          <w:sz w:val="20"/>
        </w:rPr>
        <w:t xml:space="preserve">Se considerar que a Comissão Europeia não tratou devidamente do seu caso, pode contactar o </w:t>
      </w:r>
      <w:hyperlink r:id="rId15">
        <w:r>
          <w:rPr>
            <w:rStyle w:val="Bodytext21"/>
            <w:rFonts w:ascii="Verdana" w:hAnsi="Verdana"/>
            <w:sz w:val="20"/>
          </w:rPr>
          <w:t>Provedor de Justiça Europeu</w:t>
        </w:r>
      </w:hyperlink>
      <w:r>
        <w:rPr/>
        <w:t xml:space="preserve"> </w:t>
      </w:r>
      <w:r>
        <w:rPr>
          <w:rFonts w:ascii="Verdana" w:hAnsi="Verdana"/>
          <w:b w:val="false"/>
          <w:sz w:val="20"/>
        </w:rPr>
        <w:t>(</w:t>
      </w:r>
      <w:hyperlink r:id="rId16">
        <w:r>
          <w:rPr>
            <w:rStyle w:val="Bodytext21"/>
            <w:rFonts w:ascii="Verdana" w:hAnsi="Verdana"/>
            <w:sz w:val="20"/>
          </w:rPr>
          <w:t>artigos 24.º e 228.º do TFUE</w:t>
        </w:r>
      </w:hyperlink>
      <w:r>
        <w:rPr>
          <w:rFonts w:ascii="Verdana" w:hAnsi="Verdana"/>
          <w:b w:val="false"/>
          <w:sz w:val="20"/>
        </w:rPr>
        <w:t>).</w:t>
      </w:r>
    </w:p>
    <w:p>
      <w:pPr>
        <w:pStyle w:val="Bodytext22"/>
        <w:shd w:val="clear" w:color="auto" w:fill="auto"/>
        <w:spacing w:lineRule="auto" w:line="240" w:before="360" w:after="120"/>
        <w:ind w:hanging="0"/>
        <w:jc w:val="both"/>
        <w:rPr>
          <w:rFonts w:ascii="Verdana" w:hAnsi="Verdana"/>
          <w:sz w:val="20"/>
          <w:szCs w:val="20"/>
        </w:rPr>
      </w:pPr>
      <w:r>
        <w:rPr>
          <w:rFonts w:ascii="Verdana" w:hAnsi="Verdana"/>
          <w:sz w:val="20"/>
        </w:rPr>
        <w:t>Como apresentar uma denúncia à Comissão Europeia</w:t>
      </w:r>
    </w:p>
    <w:p>
      <w:pPr>
        <w:pStyle w:val="Bodytext22"/>
        <w:shd w:val="clear" w:color="auto" w:fill="auto"/>
        <w:spacing w:lineRule="auto" w:line="240" w:before="0" w:after="120"/>
        <w:ind w:hanging="0"/>
        <w:jc w:val="both"/>
        <w:rPr/>
      </w:pPr>
      <w:r>
        <w:rPr>
          <w:rFonts w:ascii="Verdana" w:hAnsi="Verdana"/>
          <w:b w:val="false"/>
          <w:sz w:val="20"/>
        </w:rPr>
        <w:t xml:space="preserve">Para apresentar uma denúncia, deve usar o formulário normalizado, que pode preencher em qualquer </w:t>
      </w:r>
      <w:hyperlink r:id="rId17">
        <w:r>
          <w:rPr>
            <w:rStyle w:val="ListLabel32"/>
            <w:rFonts w:ascii="Verdana" w:hAnsi="Verdana"/>
            <w:b w:val="false"/>
            <w:bCs w:val="false"/>
            <w:color w:val="0000FF"/>
            <w:sz w:val="20"/>
            <w:u w:val="single"/>
          </w:rPr>
          <w:t>língua oficial da UE</w:t>
        </w:r>
      </w:hyperlink>
      <w:r>
        <w:rPr/>
        <w:t>.</w:t>
      </w:r>
      <w:hyperlink r:id="rId18">
        <w:r>
          <w:rPr>
            <w:rStyle w:val="ListLabel34"/>
            <w:rFonts w:ascii="Verdana" w:hAnsi="Verdana"/>
            <w:b w:val="false"/>
            <w:sz w:val="20"/>
          </w:rPr>
          <w:t xml:space="preserve"> </w:t>
        </w:r>
      </w:hyperlink>
      <w:r>
        <w:rPr>
          <w:rFonts w:ascii="Verdana" w:hAnsi="Verdana"/>
          <w:b w:val="false"/>
          <w:sz w:val="20"/>
        </w:rPr>
        <w:t>Certifique-se de que:</w:t>
      </w:r>
    </w:p>
    <w:p>
      <w:pPr>
        <w:pStyle w:val="Bodytext22"/>
        <w:numPr>
          <w:ilvl w:val="0"/>
          <w:numId w:val="1"/>
        </w:numPr>
        <w:shd w:val="clear" w:color="auto" w:fill="auto"/>
        <w:tabs>
          <w:tab w:val="clear" w:pos="720"/>
          <w:tab w:val="left" w:pos="755" w:leader="none"/>
        </w:tabs>
        <w:spacing w:lineRule="auto" w:line="240" w:before="0" w:after="120"/>
        <w:ind w:left="425" w:hanging="0"/>
        <w:jc w:val="both"/>
        <w:rPr>
          <w:rFonts w:ascii="Verdana" w:hAnsi="Verdana"/>
          <w:b w:val="false"/>
          <w:b w:val="false"/>
          <w:sz w:val="20"/>
          <w:szCs w:val="20"/>
        </w:rPr>
      </w:pPr>
      <w:r>
        <w:rPr>
          <w:rFonts w:ascii="Verdana" w:hAnsi="Verdana"/>
          <w:b w:val="false"/>
          <w:sz w:val="20"/>
        </w:rPr>
        <w:t>descreve exatamente o motivo porque considera que as autoridades nacionais infringiram o direito europeu e indica o ato legislativo em questão</w:t>
      </w:r>
    </w:p>
    <w:p>
      <w:pPr>
        <w:pStyle w:val="Bodytext22"/>
        <w:numPr>
          <w:ilvl w:val="0"/>
          <w:numId w:val="1"/>
        </w:numPr>
        <w:shd w:val="clear" w:color="auto" w:fill="auto"/>
        <w:tabs>
          <w:tab w:val="clear" w:pos="720"/>
          <w:tab w:val="left" w:pos="755" w:leader="none"/>
        </w:tabs>
        <w:spacing w:lineRule="auto" w:line="240" w:before="0" w:after="120"/>
        <w:ind w:left="426" w:hanging="0"/>
        <w:jc w:val="both"/>
        <w:rPr>
          <w:rFonts w:ascii="Verdana" w:hAnsi="Verdana"/>
          <w:b w:val="false"/>
          <w:b w:val="false"/>
          <w:sz w:val="20"/>
          <w:szCs w:val="20"/>
        </w:rPr>
      </w:pPr>
      <w:r>
        <w:rPr>
          <w:rFonts w:ascii="Verdana" w:hAnsi="Verdana"/>
          <w:b w:val="false"/>
          <w:sz w:val="20"/>
        </w:rPr>
        <w:t>descreve as medidas que já tomou para obter uma reparação</w:t>
      </w:r>
    </w:p>
    <w:p>
      <w:pPr>
        <w:pStyle w:val="Bodytext22"/>
        <w:shd w:val="clear" w:color="auto" w:fill="auto"/>
        <w:spacing w:lineRule="auto" w:line="240" w:before="360" w:after="120"/>
        <w:ind w:hanging="0"/>
        <w:jc w:val="both"/>
        <w:rPr>
          <w:rFonts w:ascii="Verdana" w:hAnsi="Verdana"/>
          <w:sz w:val="20"/>
          <w:szCs w:val="20"/>
        </w:rPr>
      </w:pPr>
      <w:r>
        <w:rPr>
          <w:rFonts w:ascii="Verdana" w:hAnsi="Verdana"/>
          <w:sz w:val="20"/>
        </w:rPr>
        <w:t>O que faz a Comissão Europeia com a sua denúncia?</w:t>
      </w:r>
    </w:p>
    <w:p>
      <w:pPr>
        <w:pStyle w:val="Bodytext22"/>
        <w:numPr>
          <w:ilvl w:val="0"/>
          <w:numId w:val="2"/>
        </w:numPr>
        <w:shd w:val="clear" w:color="auto" w:fill="auto"/>
        <w:spacing w:lineRule="auto" w:line="240" w:before="0" w:after="120"/>
        <w:jc w:val="both"/>
        <w:rPr>
          <w:rFonts w:ascii="Verdana" w:hAnsi="Verdana"/>
          <w:b w:val="false"/>
          <w:b w:val="false"/>
          <w:sz w:val="20"/>
          <w:szCs w:val="20"/>
        </w:rPr>
      </w:pPr>
      <w:r>
        <w:rPr>
          <w:rFonts w:ascii="Verdana" w:hAnsi="Verdana"/>
          <w:b w:val="false"/>
          <w:sz w:val="20"/>
        </w:rPr>
        <w:t>A Comissão Europeia confirmará a receção da denúncia no prazo de 15 dias úteis.</w:t>
      </w:r>
    </w:p>
    <w:p>
      <w:pPr>
        <w:pStyle w:val="Bodytext22"/>
        <w:numPr>
          <w:ilvl w:val="0"/>
          <w:numId w:val="2"/>
        </w:numPr>
        <w:shd w:val="clear" w:color="auto" w:fill="auto"/>
        <w:spacing w:lineRule="auto" w:line="240" w:before="0" w:after="120"/>
        <w:jc w:val="both"/>
        <w:rPr>
          <w:rFonts w:ascii="Verdana" w:hAnsi="Verdana"/>
          <w:b w:val="false"/>
          <w:b w:val="false"/>
          <w:sz w:val="20"/>
          <w:szCs w:val="20"/>
        </w:rPr>
      </w:pPr>
      <w:r>
        <w:rPr>
          <w:rFonts w:ascii="Verdana" w:hAnsi="Verdana"/>
          <w:b w:val="false"/>
          <w:sz w:val="20"/>
        </w:rPr>
        <w:t>Caso não tenha utilizado o formulário de denúncia normalizado, a Comissão convidá-lo-á a utilizá-lo para voltar a apresentar a denúncia.</w:t>
      </w:r>
    </w:p>
    <w:p>
      <w:pPr>
        <w:pStyle w:val="Bodytext22"/>
        <w:numPr>
          <w:ilvl w:val="0"/>
          <w:numId w:val="2"/>
        </w:numPr>
        <w:shd w:val="clear" w:color="auto" w:fill="auto"/>
        <w:spacing w:lineRule="auto" w:line="240" w:before="0" w:after="120"/>
        <w:jc w:val="both"/>
        <w:rPr>
          <w:rFonts w:ascii="Verdana" w:hAnsi="Verdana"/>
          <w:b w:val="false"/>
          <w:b w:val="false"/>
          <w:sz w:val="20"/>
          <w:szCs w:val="20"/>
        </w:rPr>
      </w:pPr>
      <w:r>
        <w:rPr>
          <w:rFonts w:ascii="Verdana" w:hAnsi="Verdana"/>
          <w:b w:val="false"/>
          <w:sz w:val="20"/>
        </w:rPr>
        <w:t>A Comissão avaliará a denúncia num prazo de 12 meses e decidirá se deve instaurar um processo de infração contra o país da UE em causa. Se o caso for particularmente complexo ou se necessitar de recolher mais informações ou elementos junto de si ou de terceiros, a Comissão poderá levar mais de um ano a tomar uma decisão. Nesse caso, informá-lo-á devidamente. Se a Comissão considerar que a sua denúncia se justifica e decidir instaurar um processo de infração contra o país em causa, informá-lo-á do facto, assim como da posterior evolução do caso.</w:t>
      </w:r>
    </w:p>
    <w:p>
      <w:pPr>
        <w:pStyle w:val="Bodytext22"/>
        <w:numPr>
          <w:ilvl w:val="0"/>
          <w:numId w:val="2"/>
        </w:numPr>
        <w:shd w:val="clear" w:color="auto" w:fill="auto"/>
        <w:spacing w:lineRule="auto" w:line="240" w:before="0" w:after="120"/>
        <w:jc w:val="both"/>
        <w:rPr>
          <w:rFonts w:ascii="Verdana" w:hAnsi="Verdana"/>
          <w:b w:val="false"/>
          <w:b w:val="false"/>
          <w:sz w:val="20"/>
          <w:szCs w:val="20"/>
        </w:rPr>
      </w:pPr>
      <w:r>
        <w:rPr>
          <w:rFonts w:ascii="Verdana" w:hAnsi="Verdana"/>
          <w:b w:val="false"/>
          <w:sz w:val="20"/>
        </w:rPr>
        <w:t>Se a Comissão entrar em contacto com as autoridades do país contra o qual apresentou a denúncia, só divulgará a sua identidade com a sua autorização explícita.</w:t>
      </w:r>
    </w:p>
    <w:p>
      <w:pPr>
        <w:pStyle w:val="Bodytext22"/>
        <w:numPr>
          <w:ilvl w:val="0"/>
          <w:numId w:val="2"/>
        </w:numPr>
        <w:shd w:val="clear" w:color="auto" w:fill="auto"/>
        <w:spacing w:lineRule="auto" w:line="240" w:before="0" w:after="120"/>
        <w:jc w:val="both"/>
        <w:rPr>
          <w:rFonts w:ascii="Verdana" w:hAnsi="Verdana"/>
          <w:b w:val="false"/>
          <w:b w:val="false"/>
          <w:sz w:val="20"/>
          <w:szCs w:val="20"/>
        </w:rPr>
      </w:pPr>
      <w:r>
        <w:rPr>
          <w:rFonts w:ascii="Verdana" w:hAnsi="Verdana"/>
          <w:b w:val="false"/>
          <w:sz w:val="20"/>
        </w:rPr>
        <w:t>Se a Comissão considerar que o problema pode ser resolvido de forma mais eficaz por um dos serviços disponíveis de resolução informal ou extrajudicial de litígios, poderá propor-lhe a transferência do dossiê para um desses serviços.</w:t>
      </w:r>
    </w:p>
    <w:p>
      <w:pPr>
        <w:pStyle w:val="Bodytext22"/>
        <w:keepLines/>
        <w:numPr>
          <w:ilvl w:val="0"/>
          <w:numId w:val="2"/>
        </w:numPr>
        <w:shd w:val="clear" w:color="auto" w:fill="auto"/>
        <w:spacing w:lineRule="auto" w:line="240" w:before="0" w:after="120"/>
        <w:ind w:left="357" w:hanging="357"/>
        <w:jc w:val="both"/>
        <w:rPr>
          <w:rFonts w:ascii="Verdana" w:hAnsi="Verdana"/>
          <w:b w:val="false"/>
          <w:b w:val="false"/>
          <w:sz w:val="20"/>
          <w:szCs w:val="20"/>
        </w:rPr>
      </w:pPr>
      <w:r>
        <w:rPr>
          <w:rFonts w:ascii="Verdana" w:hAnsi="Verdana"/>
          <w:b w:val="false"/>
          <w:sz w:val="20"/>
        </w:rPr>
        <w:t>Se a Comissão considerar que o problema em causa não representa uma infração do direito europeu, informá-lo-á por correio antes do encerrar o dossiê.</w:t>
      </w:r>
    </w:p>
    <w:p>
      <w:pPr>
        <w:pStyle w:val="Bodytext22"/>
        <w:numPr>
          <w:ilvl w:val="0"/>
          <w:numId w:val="2"/>
        </w:numPr>
        <w:shd w:val="clear" w:color="auto" w:fill="auto"/>
        <w:spacing w:lineRule="auto" w:line="240" w:before="0" w:after="120"/>
        <w:jc w:val="both"/>
        <w:rPr>
          <w:rFonts w:ascii="Verdana" w:hAnsi="Verdana"/>
          <w:b w:val="false"/>
          <w:b w:val="false"/>
          <w:sz w:val="20"/>
          <w:szCs w:val="20"/>
        </w:rPr>
      </w:pPr>
      <w:r>
        <w:rPr>
          <w:rFonts w:ascii="Verdana" w:hAnsi="Verdana"/>
          <w:b w:val="false"/>
          <w:sz w:val="20"/>
        </w:rPr>
        <w:t>Em qualquer momento, pode transmitir à Comissão Europeia elementos adicionais relacionados com a denúncia ou pedir para se encontrar com representantes da Comissão.</w:t>
      </w:r>
    </w:p>
    <w:p>
      <w:pPr>
        <w:pStyle w:val="Bodytext22"/>
        <w:shd w:val="clear" w:color="auto" w:fill="auto"/>
        <w:spacing w:lineRule="auto" w:line="240" w:before="0" w:after="120"/>
        <w:ind w:hanging="0"/>
        <w:jc w:val="both"/>
        <w:rPr/>
      </w:pPr>
      <w:r>
        <w:rPr>
          <w:rFonts w:ascii="Verdana" w:hAnsi="Verdana"/>
          <w:b w:val="false"/>
          <w:sz w:val="20"/>
        </w:rPr>
        <w:t>Para mais informações sobre a forma como a Comissão Europeia gere as suas relações com os autores de denúncias consulte a</w:t>
      </w:r>
      <w:r>
        <w:rPr>
          <w:rFonts w:ascii="Verdana" w:hAnsi="Verdana"/>
          <w:sz w:val="20"/>
          <w:u w:val="single"/>
        </w:rPr>
        <w:t xml:space="preserve"> </w:t>
      </w:r>
      <w:hyperlink r:id="rId19">
        <w:r>
          <w:rPr>
            <w:rStyle w:val="LigaodeInternet"/>
            <w:rFonts w:ascii="Verdana" w:hAnsi="Verdana"/>
            <w:b w:val="false"/>
            <w:sz w:val="20"/>
          </w:rPr>
          <w:t>Comunicação sobre a gestão das relações com os autores de denúncias em matéria de aplicação do direito europeu.</w:t>
        </w:r>
      </w:hyperlink>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Existem duas formas de apresentar uma denúncia:</w:t>
      </w:r>
    </w:p>
    <w:p>
      <w:pPr>
        <w:pStyle w:val="Bodytext22"/>
        <w:numPr>
          <w:ilvl w:val="0"/>
          <w:numId w:val="3"/>
        </w:numPr>
        <w:shd w:val="clear" w:color="auto" w:fill="auto"/>
        <w:spacing w:lineRule="auto" w:line="240" w:before="0" w:after="120"/>
        <w:jc w:val="both"/>
        <w:rPr/>
      </w:pPr>
      <w:r>
        <w:rPr>
          <w:rFonts w:ascii="Verdana" w:hAnsi="Verdana"/>
          <w:sz w:val="20"/>
        </w:rPr>
        <w:t xml:space="preserve">pela Internet: </w:t>
      </w:r>
      <w:hyperlink r:id="rId20">
        <w:r>
          <w:rPr>
            <w:rStyle w:val="ListLabel34"/>
            <w:rFonts w:ascii="Verdana" w:hAnsi="Verdana"/>
            <w:b w:val="false"/>
            <w:sz w:val="20"/>
          </w:rPr>
          <w:t>SG-PLAINTES@ec.europa.eu</w:t>
        </w:r>
      </w:hyperlink>
      <w:r>
        <w:rPr>
          <w:rFonts w:ascii="Verdana" w:hAnsi="Verdana"/>
          <w:b w:val="false"/>
          <w:sz w:val="20"/>
        </w:rPr>
        <w:t xml:space="preserve"> </w:t>
      </w:r>
    </w:p>
    <w:p>
      <w:pPr>
        <w:pStyle w:val="Bodytext22"/>
        <w:numPr>
          <w:ilvl w:val="0"/>
          <w:numId w:val="3"/>
        </w:numPr>
        <w:shd w:val="clear" w:color="auto" w:fill="auto"/>
        <w:spacing w:lineRule="auto" w:line="240" w:before="0" w:after="120"/>
        <w:jc w:val="both"/>
        <w:rPr>
          <w:rFonts w:ascii="Verdana" w:hAnsi="Verdana"/>
          <w:sz w:val="20"/>
          <w:szCs w:val="20"/>
        </w:rPr>
      </w:pPr>
      <w:r>
        <w:rPr>
          <w:rFonts w:ascii="Verdana" w:hAnsi="Verdana"/>
          <w:sz w:val="20"/>
        </w:rPr>
        <w:t>pelo correio:</w:t>
      </w:r>
      <w:r>
        <w:rPr>
          <w:rFonts w:ascii="Verdana" w:hAnsi="Verdana"/>
          <w:b w:val="false"/>
          <w:sz w:val="20"/>
        </w:rPr>
        <w:t xml:space="preserve"> </w:t>
      </w:r>
      <w:r>
        <w:rPr/>
        <w:tab/>
      </w:r>
    </w:p>
    <w:p>
      <w:pPr>
        <w:pStyle w:val="Bodytext22"/>
        <w:shd w:val="clear" w:color="auto" w:fill="auto"/>
        <w:spacing w:lineRule="auto" w:line="240" w:before="0" w:after="120"/>
        <w:ind w:left="720" w:hanging="0"/>
        <w:jc w:val="both"/>
        <w:rPr>
          <w:rFonts w:ascii="Verdana" w:hAnsi="Verdana"/>
          <w:b w:val="false"/>
          <w:b w:val="false"/>
          <w:sz w:val="20"/>
          <w:szCs w:val="20"/>
        </w:rPr>
      </w:pPr>
      <w:r>
        <w:rPr>
          <w:rFonts w:ascii="Verdana" w:hAnsi="Verdana"/>
          <w:b w:val="false"/>
          <w:sz w:val="20"/>
        </w:rPr>
        <w:t xml:space="preserve">Secretário-Geral da Comissão Europeia </w:t>
      </w:r>
      <w:r>
        <w:rPr>
          <w:rFonts w:ascii="Verdana" w:hAnsi="Verdana"/>
          <w:b w:val="false"/>
          <w:sz w:val="20"/>
          <w:szCs w:val="20"/>
        </w:rPr>
        <w:br/>
      </w:r>
      <w:r>
        <w:rPr>
          <w:rFonts w:ascii="Verdana" w:hAnsi="Verdana"/>
          <w:b w:val="false"/>
          <w:sz w:val="20"/>
        </w:rPr>
        <w:t xml:space="preserve">B-1049 Bruxelas BÉLGICA </w:t>
      </w:r>
    </w:p>
    <w:p>
      <w:pPr>
        <w:pStyle w:val="Bodytext22"/>
        <w:shd w:val="clear" w:color="auto" w:fill="auto"/>
        <w:spacing w:lineRule="auto" w:line="240" w:before="0" w:after="120"/>
        <w:ind w:left="720" w:hanging="0"/>
        <w:jc w:val="both"/>
        <w:rPr>
          <w:rFonts w:ascii="Verdana" w:hAnsi="Verdana"/>
          <w:b w:val="false"/>
          <w:b w:val="false"/>
          <w:sz w:val="20"/>
          <w:szCs w:val="20"/>
        </w:rPr>
      </w:pPr>
      <w:r>
        <w:rPr>
          <w:rFonts w:ascii="Verdana" w:hAnsi="Verdana"/>
          <w:b w:val="false"/>
          <w:sz w:val="20"/>
        </w:rPr>
        <w:t>ou</w:t>
      </w:r>
    </w:p>
    <w:p>
      <w:pPr>
        <w:pStyle w:val="Bodytext22"/>
        <w:shd w:val="clear" w:color="auto" w:fill="auto"/>
        <w:spacing w:lineRule="auto" w:line="240" w:before="0" w:after="120"/>
        <w:ind w:left="720" w:hanging="0"/>
        <w:jc w:val="both"/>
        <w:rPr/>
      </w:pPr>
      <w:hyperlink r:id="rId21">
        <w:r>
          <w:rPr>
            <w:rStyle w:val="Bodytext21"/>
            <w:rFonts w:ascii="Verdana" w:hAnsi="Verdana"/>
            <w:sz w:val="20"/>
          </w:rPr>
          <w:t>Representação da Comissão Europeia no seu país</w:t>
        </w:r>
      </w:hyperlink>
    </w:p>
    <w:p>
      <w:pPr>
        <w:pStyle w:val="Bodytext22"/>
        <w:shd w:val="clear" w:color="auto" w:fill="auto"/>
        <w:spacing w:lineRule="auto" w:line="240" w:before="0" w:after="120"/>
        <w:ind w:left="720" w:hanging="0"/>
        <w:jc w:val="both"/>
        <w:rPr>
          <w:rFonts w:ascii="Verdana" w:hAnsi="Verdana"/>
          <w:b w:val="false"/>
          <w:b w:val="false"/>
          <w:sz w:val="20"/>
          <w:szCs w:val="20"/>
        </w:rPr>
      </w:pPr>
      <w:r>
        <w:rPr>
          <w:rFonts w:ascii="Verdana" w:hAnsi="Verdana"/>
          <w:b w:val="false"/>
          <w:sz w:val="20"/>
        </w:rPr>
        <w:t>ou</w:t>
      </w:r>
    </w:p>
    <w:p>
      <w:pPr>
        <w:pStyle w:val="Bodytext22"/>
        <w:shd w:val="clear" w:color="auto" w:fill="auto"/>
        <w:spacing w:lineRule="auto" w:line="240" w:before="0" w:after="120"/>
        <w:ind w:left="720" w:hanging="0"/>
        <w:jc w:val="both"/>
        <w:rPr>
          <w:rFonts w:ascii="Verdana" w:hAnsi="Verdana"/>
          <w:b w:val="false"/>
          <w:b w:val="false"/>
          <w:sz w:val="20"/>
          <w:szCs w:val="20"/>
        </w:rPr>
      </w:pPr>
      <w:r>
        <w:rPr>
          <w:rFonts w:ascii="Verdana" w:hAnsi="Verdana"/>
          <w:b w:val="false"/>
          <w:sz w:val="20"/>
        </w:rPr>
        <w:t>por fax, para o n.º 3222964335</w:t>
      </w:r>
    </w:p>
    <w:p>
      <w:pPr>
        <w:pStyle w:val="Bodytext22"/>
        <w:shd w:val="clear" w:color="auto" w:fill="auto"/>
        <w:spacing w:lineRule="auto" w:line="240" w:before="360" w:after="120"/>
        <w:ind w:hanging="0"/>
        <w:jc w:val="both"/>
        <w:rPr>
          <w:rFonts w:ascii="Verdana" w:hAnsi="Verdana"/>
          <w:sz w:val="20"/>
          <w:szCs w:val="20"/>
        </w:rPr>
      </w:pPr>
      <w:r>
        <w:rPr>
          <w:rFonts w:ascii="Verdana" w:hAnsi="Verdana"/>
          <w:sz w:val="20"/>
        </w:rPr>
        <w:t>O que a Comissão pode ou não fazer</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 xml:space="preserve">Após examinar os factos descritos na denúncia, a Comissão decidirá se é necessário tomar outras medidas. A Comissão pode decidir não iniciar qualquer procedimento formal por infração, mesmo que considere que houve uma infração do direito europeu. Por exemplo, a Comissão pode considerar que um mecanismo de reparação a nível nacional ou da UE é mais adequado para tratar a sua denúncia. </w:t>
      </w:r>
    </w:p>
    <w:p>
      <w:pPr>
        <w:pStyle w:val="Bodytext22"/>
        <w:shd w:val="clear" w:color="auto" w:fill="auto"/>
        <w:spacing w:lineRule="auto" w:line="240" w:before="0" w:after="120"/>
        <w:ind w:hanging="0"/>
        <w:jc w:val="both"/>
        <w:rPr/>
      </w:pPr>
      <w:r>
        <w:rPr>
          <w:rFonts w:ascii="Verdana" w:hAnsi="Verdana"/>
          <w:b w:val="false"/>
          <w:sz w:val="20"/>
        </w:rPr>
        <w:t xml:space="preserve">Em 2017, a Comissão arquivou denúncias recebidas no </w:t>
      </w:r>
      <w:hyperlink r:id="rId22">
        <w:r>
          <w:rPr>
            <w:rStyle w:val="LigaodeInternet"/>
            <w:rFonts w:ascii="Verdana" w:hAnsi="Verdana"/>
            <w:b w:val="false"/>
            <w:sz w:val="20"/>
          </w:rPr>
          <w:t>domínio dos jogos de fortuna e azar</w:t>
        </w:r>
      </w:hyperlink>
      <w:r>
        <w:rPr/>
        <w:t>.</w:t>
      </w:r>
      <w:r>
        <w:rPr>
          <w:rFonts w:ascii="Verdana" w:hAnsi="Verdana"/>
          <w:b w:val="false"/>
          <w:sz w:val="20"/>
        </w:rPr>
        <w:t xml:space="preserve"> A Comissão não considerou uma prioridade usar os seus poderes de execução para promover um mercado único da UE no domínio dos serviços de jogo em linha. As denúncias relativas aos jogos de fortuna e azar podem ser tratadas mais eficazmente pelos órgãos jurisdicionais nacionais do que pela Comissão.</w:t>
      </w:r>
    </w:p>
    <w:p>
      <w:pPr>
        <w:pStyle w:val="Bodytext22"/>
        <w:shd w:val="clear" w:fill="FFFFFF"/>
        <w:spacing w:before="0" w:after="120"/>
        <w:ind w:hanging="0"/>
        <w:jc w:val="both"/>
        <w:rPr>
          <w:rFonts w:ascii="Verdana" w:hAnsi="Verdana"/>
          <w:b w:val="false"/>
          <w:b w:val="false"/>
          <w:sz w:val="20"/>
          <w:szCs w:val="20"/>
        </w:rPr>
      </w:pPr>
      <w:r>
        <w:rPr>
          <w:rFonts w:ascii="Verdana" w:hAnsi="Verdana"/>
          <w:b w:val="false"/>
          <w:sz w:val="20"/>
        </w:rPr>
        <w:t xml:space="preserve">Em contrapartida, se a Comissão levar um país da UE ao Tribunal de Justiça e ganhar o processo, esse país deve tomar todas as medidas para corrigir as infrações em questão. </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Se a Comissão recorrer ao Tribunal de Justiça da União Europeia, este pode demorar vários anos a proferir um acórdão. Os acórdãos do Tribunal de Justiça são diferentes das decisões dos tribunais nacionais. O Tribunal de Justiça profere um acórdão em que declara se se verificou ou não uma infração. O Tribunal de Justiça não pode anular uma disposição nacional incompatível com o direito da União Europeia, nem forçar uma administração nacional a responder ao pedido de um particular nem, ainda, condenar o país a pagar uma indemnização a quem tenha sido lesado por uma infração do direito da União Europeia. Para obter uma indemnização, o autor da denúncia deve recorrer a um tribunal nacional no prazo estabelecido para o efeito na legislação nacional.</w:t>
      </w:r>
    </w:p>
    <w:p>
      <w:pPr>
        <w:pStyle w:val="Bodytext22"/>
        <w:shd w:val="clear" w:color="auto" w:fill="auto"/>
        <w:spacing w:lineRule="auto" w:line="240" w:before="360" w:after="120"/>
        <w:ind w:hanging="0"/>
        <w:jc w:val="both"/>
        <w:rPr>
          <w:rFonts w:ascii="Verdana" w:hAnsi="Verdana"/>
          <w:sz w:val="20"/>
          <w:szCs w:val="20"/>
        </w:rPr>
      </w:pPr>
      <w:bookmarkStart w:id="0" w:name="bookmark0"/>
      <w:r>
        <w:rPr>
          <w:rFonts w:ascii="Verdana" w:hAnsi="Verdana"/>
          <w:sz w:val="20"/>
        </w:rPr>
        <w:t>Denúncias múltiplas</w:t>
      </w:r>
      <w:bookmarkEnd w:id="0"/>
    </w:p>
    <w:p>
      <w:pPr>
        <w:pStyle w:val="Bodytext22"/>
        <w:shd w:val="clear" w:color="auto" w:fill="auto"/>
        <w:spacing w:lineRule="auto" w:line="240" w:before="0" w:after="120"/>
        <w:ind w:right="200" w:hanging="0"/>
        <w:jc w:val="both"/>
        <w:rPr>
          <w:rFonts w:ascii="Verdana" w:hAnsi="Verdana"/>
          <w:b w:val="false"/>
          <w:b w:val="false"/>
          <w:sz w:val="20"/>
          <w:szCs w:val="20"/>
        </w:rPr>
      </w:pPr>
      <w:r>
        <w:rPr>
          <w:rFonts w:ascii="Verdana" w:hAnsi="Verdana"/>
          <w:b w:val="false"/>
          <w:sz w:val="20"/>
        </w:rPr>
        <w:t>No caso da apresentação de várias denúncias relativamente aos mesmos factos, a Comissão pode registá-las sob o mesmo número.</w:t>
      </w:r>
    </w:p>
    <w:p>
      <w:pPr>
        <w:pStyle w:val="Bodytext22"/>
        <w:shd w:val="clear" w:color="auto" w:fill="auto"/>
        <w:spacing w:lineRule="auto" w:line="240" w:before="0" w:after="120"/>
        <w:ind w:hanging="0"/>
        <w:jc w:val="both"/>
        <w:rPr>
          <w:rFonts w:ascii="Verdana" w:hAnsi="Verdana"/>
          <w:b w:val="false"/>
          <w:b w:val="false"/>
          <w:sz w:val="20"/>
          <w:szCs w:val="20"/>
        </w:rPr>
      </w:pPr>
      <w:r>
        <w:rPr>
          <w:rFonts w:ascii="Verdana" w:hAnsi="Verdana"/>
          <w:b w:val="false"/>
          <w:sz w:val="20"/>
        </w:rPr>
        <w:t>Os avisos de receção e cartas individuais podem ser substituídos por um aviso publicado no sítio Europa.</w:t>
      </w:r>
    </w:p>
    <w:p>
      <w:pPr>
        <w:pStyle w:val="Bodytext22"/>
        <w:shd w:val="clear" w:color="auto" w:fill="auto"/>
        <w:spacing w:lineRule="auto" w:line="240" w:before="0" w:after="120"/>
        <w:ind w:hanging="0"/>
        <w:jc w:val="both"/>
        <w:rPr/>
      </w:pPr>
      <w:hyperlink r:id="rId23">
        <w:r>
          <w:rPr>
            <w:rStyle w:val="Bodytext21"/>
            <w:rFonts w:ascii="Verdana" w:hAnsi="Verdana"/>
            <w:sz w:val="20"/>
          </w:rPr>
          <w:t>Avisos de receção de denúncias múltiplas</w:t>
        </w:r>
      </w:hyperlink>
    </w:p>
    <w:p>
      <w:pPr>
        <w:pStyle w:val="Bodytext22"/>
        <w:shd w:val="clear" w:color="auto" w:fill="auto"/>
        <w:spacing w:lineRule="auto" w:line="240" w:before="0" w:after="120"/>
        <w:ind w:hanging="0"/>
        <w:jc w:val="both"/>
        <w:rPr/>
      </w:pPr>
      <w:hyperlink r:id="rId24">
        <w:r>
          <w:rPr>
            <w:rStyle w:val="LigaodeInternet"/>
            <w:rFonts w:ascii="Verdana" w:hAnsi="Verdana"/>
            <w:b w:val="false"/>
            <w:sz w:val="20"/>
          </w:rPr>
          <w:t>Decisões tomadas relativamente a denúncias múltiplas</w:t>
        </w:r>
      </w:hyperlink>
    </w:p>
    <w:p>
      <w:pPr>
        <w:sectPr>
          <w:type w:val="nextPage"/>
          <w:pgSz w:w="11906" w:h="16838"/>
          <w:pgMar w:left="1080" w:right="1080" w:header="0" w:top="1135" w:footer="0" w:bottom="1440" w:gutter="0"/>
          <w:pgNumType w:fmt="decimal"/>
          <w:formProt w:val="false"/>
          <w:textDirection w:val="lrTb"/>
          <w:docGrid w:type="default" w:linePitch="360" w:charSpace="0"/>
        </w:sectPr>
        <w:pStyle w:val="Normal"/>
        <w:rPr>
          <w:rStyle w:val="Bodytext21"/>
          <w:b w:val="false"/>
          <w:b w:val="false"/>
          <w:bCs w:val="false"/>
        </w:rPr>
      </w:pPr>
      <w:r>
        <w:rPr>
          <w:b w:val="false"/>
          <w:bCs w:val="false"/>
        </w:rPr>
      </w:r>
    </w:p>
    <w:tbl>
      <w:tblPr>
        <w:tblW w:w="9468" w:type="dxa"/>
        <w:jc w:val="center"/>
        <w:tblInd w:w="0" w:type="dxa"/>
        <w:tblCellMar>
          <w:top w:w="0" w:type="dxa"/>
          <w:left w:w="0" w:type="dxa"/>
          <w:bottom w:w="0" w:type="dxa"/>
          <w:right w:w="0" w:type="dxa"/>
        </w:tblCellMar>
        <w:tblLook w:val="0000"/>
      </w:tblPr>
      <w:tblGrid>
        <w:gridCol w:w="2381"/>
        <w:gridCol w:w="7086"/>
      </w:tblGrid>
      <w:tr>
        <w:trPr>
          <w:trHeight w:val="1206" w:hRule="atLeast"/>
        </w:trPr>
        <w:tc>
          <w:tcPr>
            <w:tcW w:w="2381" w:type="dxa"/>
            <w:tcBorders/>
            <w:shd w:fill="auto" w:val="clear"/>
          </w:tcPr>
          <w:p>
            <w:pPr>
              <w:pStyle w:val="Normal"/>
              <w:widowControl/>
              <w:ind w:right="85" w:hanging="360"/>
              <w:jc w:val="both"/>
              <w:rPr>
                <w:rFonts w:ascii="Century" w:hAnsi="Century"/>
                <w:color w:val="002060"/>
                <w:szCs w:val="20"/>
              </w:rPr>
            </w:pPr>
            <w:r>
              <w:rPr/>
              <w:drawing>
                <wp:inline distT="0" distB="0" distL="0" distR="0">
                  <wp:extent cx="1295400" cy="643890"/>
                  <wp:effectExtent l="0" t="0" r="0" b="0"/>
                  <wp:docPr id="1" name="Picture 51"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1" descr="logo_ec_17_colors_300dpi"/>
                          <pic:cNvPicPr>
                            <a:picLocks noChangeAspect="1" noChangeArrowheads="1"/>
                          </pic:cNvPicPr>
                        </pic:nvPicPr>
                        <pic:blipFill>
                          <a:blip r:embed="rId25"/>
                          <a:stretch>
                            <a:fillRect/>
                          </a:stretch>
                        </pic:blipFill>
                        <pic:spPr bwMode="auto">
                          <a:xfrm>
                            <a:off x="0" y="0"/>
                            <a:ext cx="1295400" cy="643890"/>
                          </a:xfrm>
                          <a:prstGeom prst="rect">
                            <a:avLst/>
                          </a:prstGeom>
                        </pic:spPr>
                      </pic:pic>
                    </a:graphicData>
                  </a:graphic>
                </wp:inline>
              </w:drawing>
            </w:r>
          </w:p>
        </w:tc>
        <w:tc>
          <w:tcPr>
            <w:tcW w:w="7086" w:type="dxa"/>
            <w:tcBorders/>
            <w:shd w:fill="auto" w:val="clear"/>
          </w:tcPr>
          <w:p>
            <w:pPr>
              <w:pStyle w:val="Normal"/>
              <w:widowControl/>
              <w:spacing w:before="90" w:after="200"/>
              <w:ind w:right="85" w:hanging="360"/>
              <w:jc w:val="both"/>
              <w:rPr>
                <w:rFonts w:ascii="Arial" w:hAnsi="Arial" w:cs="Arial"/>
                <w:color w:val="002060"/>
                <w:szCs w:val="20"/>
              </w:rPr>
            </w:pPr>
            <w:r>
              <w:rPr>
                <w:rFonts w:ascii="Arial" w:hAnsi="Arial"/>
                <w:color w:val="002060"/>
              </w:rPr>
              <w:t>COMISSÃO EUROPEIA</w:t>
            </w:r>
          </w:p>
          <w:p>
            <w:pPr>
              <w:pStyle w:val="Normal"/>
              <w:widowControl/>
              <w:spacing w:before="90" w:after="200"/>
              <w:ind w:right="85" w:hanging="360"/>
              <w:jc w:val="both"/>
              <w:rPr>
                <w:rFonts w:ascii="Arial" w:hAnsi="Arial" w:cs="Arial"/>
                <w:color w:val="002060"/>
                <w:sz w:val="10"/>
                <w:szCs w:val="20"/>
              </w:rPr>
            </w:pPr>
            <w:r>
              <w:rPr>
                <w:rFonts w:cs="Arial" w:ascii="Arial" w:hAnsi="Arial"/>
                <w:color w:val="002060"/>
                <w:sz w:val="10"/>
                <w:szCs w:val="20"/>
              </w:rPr>
            </w:r>
          </w:p>
          <w:p>
            <w:pPr>
              <w:pStyle w:val="Normal"/>
              <w:widowControl/>
              <w:jc w:val="both"/>
              <w:rPr>
                <w:rFonts w:ascii="Century" w:hAnsi="Century"/>
                <w:color w:val="002060"/>
                <w:sz w:val="16"/>
                <w:szCs w:val="20"/>
              </w:rPr>
            </w:pPr>
            <w:r>
              <w:rPr>
                <w:rFonts w:ascii="Arial" w:hAnsi="Arial"/>
                <w:color w:val="002060"/>
                <w:sz w:val="28"/>
              </w:rPr>
              <w:t>Denúncia – Infração do direito europeu</w:t>
            </w:r>
          </w:p>
        </w:tc>
      </w:tr>
    </w:tbl>
    <w:p>
      <w:pPr>
        <w:pStyle w:val="Normal"/>
        <w:widowControl/>
        <w:pBdr>
          <w:top w:val="single" w:sz="8" w:space="1" w:color="0070C0"/>
          <w:left w:val="single" w:sz="8" w:space="4" w:color="0070C0"/>
          <w:bottom w:val="single" w:sz="8" w:space="1" w:color="0070C0"/>
          <w:right w:val="single" w:sz="8" w:space="0" w:color="0070C0"/>
        </w:pBdr>
        <w:ind w:left="284" w:right="543" w:hanging="360"/>
        <w:jc w:val="both"/>
        <w:rPr/>
      </w:pPr>
      <w:r>
        <w:rPr>
          <w:rFonts w:ascii="EC Square Sans Pro" w:hAnsi="EC Square Sans Pro"/>
          <w:color w:val="002060"/>
          <w:sz w:val="20"/>
        </w:rPr>
        <w:t>Antes de preencher o formulário, leia «</w:t>
      </w:r>
      <w:r>
        <w:rPr>
          <w:rFonts w:ascii="EC Square Sans Pro" w:hAnsi="EC Square Sans Pro"/>
          <w:i/>
          <w:color w:val="002060"/>
          <w:sz w:val="20"/>
        </w:rPr>
        <w:t>Como apresentar uma denúncia à Comissão Europeia</w:t>
      </w:r>
      <w:r>
        <w:rPr>
          <w:rFonts w:ascii="EC Square Sans Pro" w:hAnsi="EC Square Sans Pro"/>
          <w:color w:val="002060"/>
          <w:sz w:val="20"/>
        </w:rPr>
        <w:t>»:</w:t>
      </w:r>
      <w:r>
        <w:rPr>
          <w:rFonts w:ascii="EC Square Sans Pro" w:hAnsi="EC Square Sans Pro"/>
          <w:color w:val="auto"/>
          <w:sz w:val="20"/>
        </w:rPr>
        <w:t xml:space="preserve"> </w:t>
      </w:r>
      <w:r>
        <w:rPr>
          <w:rFonts w:ascii="EC Square Sans Pro" w:hAnsi="EC Square Sans Pro"/>
          <w:color w:val="auto"/>
          <w:sz w:val="20"/>
          <w:szCs w:val="20"/>
        </w:rPr>
        <w:br/>
      </w:r>
      <w:hyperlink r:id="rId26">
        <w:r>
          <w:rPr>
            <w:rStyle w:val="LigaodeInternet"/>
            <w:rFonts w:ascii="EC Square Sans Pro" w:hAnsi="EC Square Sans Pro"/>
            <w:sz w:val="20"/>
          </w:rPr>
          <w:t>https://ec.europa.eu/assets/sg/report-a-breach/complaints_en/</w:t>
        </w:r>
      </w:hyperlink>
    </w:p>
    <w:p>
      <w:pPr>
        <w:pStyle w:val="Normal"/>
        <w:widowControl/>
        <w:pBdr>
          <w:top w:val="single" w:sz="8" w:space="1" w:color="0070C0"/>
          <w:left w:val="single" w:sz="8" w:space="4" w:color="0070C0"/>
          <w:bottom w:val="single" w:sz="8" w:space="1" w:color="0070C0"/>
          <w:right w:val="single" w:sz="8" w:space="0" w:color="0070C0"/>
        </w:pBdr>
        <w:ind w:left="284" w:right="543" w:hanging="360"/>
        <w:jc w:val="both"/>
        <w:rPr>
          <w:rFonts w:ascii="EC Square Sans Pro" w:hAnsi="EC Square Sans Pro"/>
          <w:color w:val="002060"/>
          <w:sz w:val="20"/>
          <w:szCs w:val="20"/>
        </w:rPr>
      </w:pPr>
      <w:r>
        <w:rPr>
          <w:rFonts w:ascii="EC Square Sans Pro" w:hAnsi="EC Square Sans Pro"/>
          <w:color w:val="002060"/>
          <w:sz w:val="20"/>
        </w:rPr>
        <w:t>Os campos assinalados com um * são obrigatórios. Seja conciso. Se necessário, pode continuar noutra página.</w:t>
      </w:r>
    </w:p>
    <w:p>
      <w:pPr>
        <w:pStyle w:val="Normal"/>
        <w:widowControl/>
        <w:jc w:val="both"/>
        <w:rPr>
          <w:rFonts w:ascii="Century" w:hAnsi="Century"/>
          <w:b/>
          <w:b/>
          <w:color w:val="002060"/>
          <w:sz w:val="14"/>
          <w:szCs w:val="22"/>
        </w:rPr>
      </w:pPr>
      <w:r>
        <w:rPr>
          <w:rFonts w:ascii="Century" w:hAnsi="Century"/>
          <w:b/>
          <w:color w:val="002060"/>
          <w:sz w:val="14"/>
          <w:szCs w:val="22"/>
        </w:rPr>
      </w:r>
    </w:p>
    <w:p>
      <w:pPr>
        <w:pStyle w:val="Normal"/>
        <w:widowControl/>
        <w:jc w:val="both"/>
        <w:rPr>
          <w:rFonts w:ascii="EC Square Sans Pro" w:hAnsi="EC Square Sans Pro"/>
          <w:b/>
          <w:b/>
          <w:color w:val="0070C0"/>
          <w:sz w:val="22"/>
          <w:szCs w:val="22"/>
        </w:rPr>
      </w:pPr>
      <w:r>
        <w:rPr>
          <w:rFonts w:ascii="EC Square Sans Pro" w:hAnsi="EC Square Sans Pro"/>
          <w:color w:val="0070C0"/>
          <w:sz w:val="28"/>
        </w:rPr>
        <w:t>1.</w:t>
      </w:r>
      <w:r>
        <w:rPr>
          <w:rFonts w:ascii="EC Square Sans Pro" w:hAnsi="EC Square Sans Pro"/>
          <w:b/>
          <w:color w:val="0070C0"/>
          <w:sz w:val="28"/>
        </w:rPr>
        <w:t xml:space="preserve"> </w:t>
      </w:r>
      <w:r>
        <w:rPr>
          <w:rFonts w:ascii="EC Square Sans Pro" w:hAnsi="EC Square Sans Pro"/>
          <w:color w:val="0070C0"/>
          <w:sz w:val="28"/>
        </w:rPr>
        <w:t>Dados pessoais e de contacto</w:t>
      </w:r>
    </w:p>
    <w:tbl>
      <w:tblPr>
        <w:tblStyle w:val="TableGrid"/>
        <w:tblW w:w="10456" w:type="dxa"/>
        <w:jc w:val="left"/>
        <w:tblInd w:w="0" w:type="dxa"/>
        <w:tblCellMar>
          <w:top w:w="0" w:type="dxa"/>
          <w:left w:w="108" w:type="dxa"/>
          <w:bottom w:w="0" w:type="dxa"/>
          <w:right w:w="108" w:type="dxa"/>
        </w:tblCellMar>
        <w:tblLook w:val="04a0"/>
      </w:tblPr>
      <w:tblGrid>
        <w:gridCol w:w="2516"/>
        <w:gridCol w:w="3968"/>
        <w:gridCol w:w="3972"/>
      </w:tblGrid>
      <w:tr>
        <w:trPr/>
        <w:tc>
          <w:tcPr>
            <w:tcW w:w="2516" w:type="dxa"/>
            <w:tcBorders/>
            <w:shd w:fill="auto" w:val="clear"/>
          </w:tcPr>
          <w:p>
            <w:pPr>
              <w:pStyle w:val="Normal"/>
              <w:widowControl/>
              <w:jc w:val="both"/>
              <w:rPr>
                <w:rFonts w:ascii="EC Square Sans Pro" w:hAnsi="EC Square Sans Pro" w:eastAsia="Calibri" w:cs=""/>
                <w:color w:val="002060"/>
                <w:sz w:val="22"/>
                <w:szCs w:val="22"/>
              </w:rPr>
            </w:pPr>
            <w:r>
              <w:rPr>
                <w:rFonts w:eastAsia="Calibri" w:cs="" w:ascii="EC Square Sans Pro" w:hAnsi="EC Square Sans Pro"/>
                <w:color w:val="002060"/>
                <w:sz w:val="22"/>
                <w:szCs w:val="22"/>
              </w:rPr>
            </w:r>
          </w:p>
        </w:tc>
        <w:tc>
          <w:tcPr>
            <w:tcW w:w="3968" w:type="dxa"/>
            <w:tcBorders/>
            <w:shd w:fill="auto" w:val="clear"/>
            <w:vAlign w:val="center"/>
          </w:tcPr>
          <w:p>
            <w:pPr>
              <w:pStyle w:val="Normal"/>
              <w:widowControl/>
              <w:jc w:val="center"/>
              <w:rPr>
                <w:rFonts w:ascii="EC Square Sans Pro" w:hAnsi="EC Square Sans Pro"/>
                <w:color w:val="002060"/>
              </w:rPr>
            </w:pPr>
            <w:r>
              <w:rPr>
                <w:rFonts w:eastAsia="Calibri" w:cs="" w:ascii="EC Square Sans Pro" w:hAnsi="EC Square Sans Pro" w:cstheme="minorBidi" w:eastAsiaTheme="minorHAnsi"/>
                <w:color w:val="002060"/>
                <w:sz w:val="24"/>
                <w:szCs w:val="22"/>
              </w:rPr>
              <w:t>Autor da denúncia*</w:t>
            </w:r>
          </w:p>
        </w:tc>
        <w:tc>
          <w:tcPr>
            <w:tcW w:w="3972" w:type="dxa"/>
            <w:tcBorders/>
            <w:shd w:fill="auto" w:val="clear"/>
            <w:vAlign w:val="center"/>
          </w:tcPr>
          <w:p>
            <w:pPr>
              <w:pStyle w:val="Normal"/>
              <w:widowControl/>
              <w:jc w:val="center"/>
              <w:rPr>
                <w:rFonts w:ascii="EC Square Sans Pro" w:hAnsi="EC Square Sans Pro"/>
                <w:color w:val="002060"/>
              </w:rPr>
            </w:pPr>
            <w:r>
              <w:rPr>
                <w:rFonts w:eastAsia="Calibri" w:cs="" w:ascii="EC Square Sans Pro" w:hAnsi="EC Square Sans Pro" w:cstheme="minorBidi" w:eastAsiaTheme="minorHAnsi"/>
                <w:color w:val="002060"/>
                <w:sz w:val="24"/>
                <w:szCs w:val="22"/>
              </w:rPr>
              <w:t>Representante (</w:t>
            </w:r>
            <w:r>
              <w:rPr>
                <w:rFonts w:eastAsia="Calibri" w:cs="" w:ascii="EC Square Sans Pro" w:hAnsi="EC Square Sans Pro" w:cstheme="minorBidi" w:eastAsiaTheme="minorHAnsi"/>
                <w:i/>
                <w:color w:val="002060"/>
                <w:sz w:val="24"/>
                <w:szCs w:val="22"/>
              </w:rPr>
              <w:t>se for caso disso</w:t>
            </w:r>
            <w:r>
              <w:rPr>
                <w:rFonts w:eastAsia="Calibri" w:cs="" w:ascii="EC Square Sans Pro" w:hAnsi="EC Square Sans Pro" w:cstheme="minorBidi" w:eastAsiaTheme="minorHAnsi"/>
                <w:color w:val="002060"/>
                <w:sz w:val="24"/>
                <w:szCs w:val="22"/>
              </w:rPr>
              <w:t>)</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Sr./Sr.ª*</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 xml:space="preserve">David Nascimento </w:t>
            </w:r>
          </w:p>
        </w:tc>
        <w:tc>
          <w:tcPr>
            <w:tcW w:w="3972" w:type="dxa"/>
            <w:tcBorders/>
            <w:shd w:fill="auto" w:val="clear"/>
          </w:tcPr>
          <w:p>
            <w:pPr>
              <w:pStyle w:val="Normal"/>
              <w:widowControl/>
              <w:jc w:val="both"/>
              <w:rPr>
                <w:rFonts w:ascii="Century" w:hAnsi="Century" w:eastAsia="Calibri" w:cs=""/>
                <w:color w:val="002060"/>
                <w:sz w:val="22"/>
                <w:szCs w:val="22"/>
              </w:rPr>
            </w:pPr>
            <w:r>
              <w:rPr>
                <w:rFonts w:eastAsia="Calibri" w:cs="" w:ascii="Century" w:hAnsi="Century"/>
                <w:color w:val="002060"/>
                <w:sz w:val="22"/>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Nome próprio*</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David</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Apelido*</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Nascimento</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Organização</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Dolphincaravel</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Endereço*</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Rua das Areias nº3 2º andar</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Localidade*</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Setúbal</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Código postal*</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2910-407</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País*</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Portugal</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Telefone</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+351938435928</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Endereço eletrónico</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sos_sado@protonmail.com</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Língua*</w:t>
            </w:r>
          </w:p>
        </w:tc>
        <w:tc>
          <w:tcPr>
            <w:tcW w:w="3968"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Portuguesa</w:t>
            </w:r>
          </w:p>
        </w:tc>
        <w:tc>
          <w:tcPr>
            <w:tcW w:w="3972"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rPr>
            </w:pPr>
            <w:r>
              <w:rPr>
                <w:rFonts w:eastAsia="Calibri" w:cs="" w:ascii="EC Square Sans Pro" w:hAnsi="EC Square Sans Pro" w:cstheme="minorBidi" w:eastAsiaTheme="minorHAnsi"/>
                <w:color w:val="002060"/>
                <w:sz w:val="20"/>
                <w:szCs w:val="22"/>
              </w:rPr>
              <w:t>Indique se a correspondência deve ser enviada para si ou para o seu representante*:</w:t>
            </w:r>
          </w:p>
        </w:tc>
        <w:tc>
          <w:tcPr>
            <w:tcW w:w="3968" w:type="dxa"/>
            <w:tcBorders/>
            <w:shd w:fill="auto" w:val="clear"/>
            <w:vAlign w:val="center"/>
          </w:tcPr>
          <w:p>
            <w:pPr>
              <w:pStyle w:val="Normal"/>
              <w:widowControl/>
              <w:jc w:val="center"/>
              <w:rPr>
                <w:rFonts w:ascii="Menlo Regular" w:hAnsi="Menlo Regular" w:eastAsia="Calibri" w:cs="Menlo Regular"/>
                <w:color w:val="002060"/>
                <w:sz w:val="32"/>
                <w:szCs w:val="22"/>
              </w:rPr>
            </w:pPr>
            <w:r>
              <w:rPr>
                <w:rFonts w:eastAsia="Calibri" w:cs="Menlo Regular" w:eastAsiaTheme="minorHAnsi" w:ascii="Menlo Regular" w:hAnsi="Menlo Regular"/>
                <w:color w:val="002060"/>
                <w:sz w:val="32"/>
                <w:szCs w:val="22"/>
              </w:rPr>
              <w:t>x</w:t>
            </w:r>
          </w:p>
        </w:tc>
        <w:tc>
          <w:tcPr>
            <w:tcW w:w="3972" w:type="dxa"/>
            <w:tcBorders/>
            <w:shd w:fill="auto" w:val="clear"/>
            <w:vAlign w:val="center"/>
          </w:tcPr>
          <w:p>
            <w:pPr>
              <w:pStyle w:val="Normal"/>
              <w:widowControl/>
              <w:jc w:val="center"/>
              <w:rPr>
                <w:rFonts w:ascii="Century" w:hAnsi="Century"/>
                <w:color w:val="002060"/>
              </w:rPr>
            </w:pPr>
            <w:r>
              <w:rPr>
                <w:rFonts w:eastAsia="Calibri" w:cs="Menlo Regular" w:ascii="Menlo Regular" w:hAnsi="Menlo Regular" w:eastAsiaTheme="minorHAnsi"/>
                <w:color w:val="002060"/>
                <w:sz w:val="32"/>
                <w:szCs w:val="22"/>
              </w:rPr>
              <w:t>☐</w:t>
            </w:r>
          </w:p>
        </w:tc>
      </w:tr>
    </w:tbl>
    <w:p>
      <w:pPr>
        <w:pStyle w:val="Normal"/>
        <w:widowControl/>
        <w:jc w:val="both"/>
        <w:rPr>
          <w:rFonts w:ascii="EC Square Sans Cond Pro" w:hAnsi="EC Square Sans Cond Pro"/>
          <w:color w:val="auto"/>
          <w:sz w:val="20"/>
          <w:szCs w:val="22"/>
        </w:rPr>
      </w:pPr>
      <w:r>
        <w:rPr>
          <w:rFonts w:ascii="EC Square Sans Cond Pro" w:hAnsi="EC Square Sans Cond Pro"/>
          <w:color w:val="auto"/>
          <w:sz w:val="20"/>
          <w:szCs w:val="22"/>
        </w:rPr>
      </w:r>
    </w:p>
    <w:p>
      <w:pPr>
        <w:pStyle w:val="Normal"/>
        <w:widowControl/>
        <w:jc w:val="both"/>
        <w:rPr>
          <w:rFonts w:ascii="EC Square Sans Pro" w:hAnsi="EC Square Sans Pro"/>
          <w:color w:val="0070C0"/>
          <w:sz w:val="28"/>
          <w:szCs w:val="22"/>
        </w:rPr>
      </w:pPr>
      <w:r>
        <w:rPr>
          <w:rFonts w:ascii="EC Square Sans Pro" w:hAnsi="EC Square Sans Pro"/>
          <w:color w:val="0070C0"/>
          <w:sz w:val="28"/>
        </w:rPr>
        <w:t>2. De que forma foi infringido o direito europeu?</w:t>
      </w:r>
    </w:p>
    <w:tbl>
      <w:tblPr>
        <w:tblStyle w:val="TableGrid"/>
        <w:tblW w:w="10456" w:type="dxa"/>
        <w:jc w:val="left"/>
        <w:tblInd w:w="0" w:type="dxa"/>
        <w:tblCellMar>
          <w:top w:w="0" w:type="dxa"/>
          <w:left w:w="108" w:type="dxa"/>
          <w:bottom w:w="0" w:type="dxa"/>
          <w:right w:w="108" w:type="dxa"/>
        </w:tblCellMar>
        <w:tblLook w:val="04a0"/>
      </w:tblPr>
      <w:tblGrid>
        <w:gridCol w:w="2516"/>
        <w:gridCol w:w="7939"/>
      </w:tblGrid>
      <w:tr>
        <w:trPr/>
        <w:tc>
          <w:tcPr>
            <w:tcW w:w="2516" w:type="dxa"/>
            <w:tcBorders/>
            <w:shd w:fill="auto" w:val="clear"/>
            <w:vAlign w:val="center"/>
          </w:tcPr>
          <w:p>
            <w:pPr>
              <w:pStyle w:val="Normal"/>
              <w:widowControl/>
              <w:rPr>
                <w:rFonts w:ascii="EC Square Sans Pro" w:hAnsi="EC Square Sans Pro" w:eastAsia="Calibri" w:cs=""/>
                <w:color w:val="002060"/>
                <w:sz w:val="20"/>
                <w:szCs w:val="22"/>
              </w:rPr>
            </w:pPr>
            <w:r>
              <w:rPr>
                <w:rFonts w:eastAsia="Calibri" w:cs="" w:ascii="EC Square Sans Pro" w:hAnsi="EC Square Sans Pro"/>
                <w:color w:val="002060"/>
                <w:sz w:val="20"/>
                <w:szCs w:val="22"/>
              </w:rPr>
            </w:r>
          </w:p>
        </w:tc>
        <w:tc>
          <w:tcPr>
            <w:tcW w:w="7939" w:type="dxa"/>
            <w:tcBorders/>
            <w:shd w:fill="auto" w:val="clear"/>
          </w:tcPr>
          <w:p>
            <w:pPr>
              <w:pStyle w:val="Normal"/>
              <w:widowControl/>
              <w:jc w:val="center"/>
              <w:rPr>
                <w:rFonts w:ascii="Century" w:hAnsi="Century"/>
                <w:color w:val="002060"/>
                <w:sz w:val="28"/>
              </w:rPr>
            </w:pPr>
            <w:r>
              <w:rPr>
                <w:rFonts w:eastAsia="Calibri" w:cs="" w:ascii="ECSquareSansPro" w:hAnsi="ECSquareSansPro" w:cstheme="minorBidi" w:eastAsiaTheme="minorHAnsi"/>
                <w:color w:val="auto"/>
                <w:sz w:val="24"/>
                <w:szCs w:val="22"/>
              </w:rPr>
              <w:t>Autoridade ou órgão objeto da denúncia:</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Nome*</w:t>
            </w:r>
          </w:p>
        </w:tc>
        <w:tc>
          <w:tcPr>
            <w:tcW w:w="7939" w:type="dxa"/>
            <w:tcBorders/>
            <w:shd w:fill="auto" w:val="clear"/>
          </w:tcPr>
          <w:p>
            <w:pPr>
              <w:pStyle w:val="Normal"/>
              <w:widowControl/>
              <w:jc w:val="both"/>
              <w:rPr>
                <w:rFonts w:ascii="Calibri" w:hAnsi="Calibri" w:eastAsia="Calibri" w:cs="" w:asciiTheme="minorHAnsi" w:cstheme="minorBidi" w:eastAsiaTheme="minorHAnsi" w:hAnsiTheme="minorHAnsi"/>
                <w:sz w:val="22"/>
                <w:szCs w:val="22"/>
              </w:rPr>
            </w:pPr>
            <w:r>
              <w:rPr>
                <w:rFonts w:eastAsia="Calibri" w:cs="" w:ascii="Century" w:hAnsi="Century" w:cstheme="minorBidi" w:eastAsiaTheme="minorHAnsi"/>
                <w:color w:val="002060"/>
                <w:sz w:val="28"/>
                <w:szCs w:val="22"/>
              </w:rPr>
              <w:t>Agência Portuguesa do Ambiente / Ministério do Ambiente e da Transição Energética / Administração dos Portos de Setúbal e Sesimbra (A.P.S.S.)</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Endereço</w:t>
            </w:r>
          </w:p>
        </w:tc>
        <w:tc>
          <w:tcPr>
            <w:tcW w:w="7939"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 xml:space="preserve">Rua da Murgueira nº 9 / Rua de O Século nº 63 / Praça da República </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Localidade</w:t>
            </w:r>
          </w:p>
        </w:tc>
        <w:tc>
          <w:tcPr>
            <w:tcW w:w="7939"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Amadora / Lisboa / Setúbal</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Código postal</w:t>
            </w:r>
          </w:p>
        </w:tc>
        <w:tc>
          <w:tcPr>
            <w:tcW w:w="7939"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2610-124 / 1200-236 / 2904-508</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País da UE*</w:t>
            </w:r>
          </w:p>
        </w:tc>
        <w:tc>
          <w:tcPr>
            <w:tcW w:w="7939"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Portugal</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Telefone</w:t>
            </w:r>
          </w:p>
        </w:tc>
        <w:tc>
          <w:tcPr>
            <w:tcW w:w="7939" w:type="dxa"/>
            <w:tcBorders/>
            <w:shd w:fill="auto" w:val="clear"/>
          </w:tcPr>
          <w:p>
            <w:pPr>
              <w:pStyle w:val="Normal"/>
              <w:widowControl/>
              <w:jc w:val="both"/>
              <w:rPr>
                <w:rFonts w:ascii="Century" w:hAnsi="Century" w:eastAsia="Calibri" w:cs=""/>
                <w:color w:val="002060"/>
                <w:sz w:val="28"/>
                <w:szCs w:val="22"/>
              </w:rPr>
            </w:pPr>
            <w:r>
              <w:rPr>
                <w:rFonts w:eastAsia="Calibri" w:cs="" w:cstheme="minorBidi" w:eastAsiaTheme="minorHAnsi" w:ascii="Century" w:hAnsi="Century"/>
                <w:color w:val="002060"/>
                <w:sz w:val="28"/>
                <w:szCs w:val="22"/>
              </w:rPr>
              <w:t>214728200 / 213231500 / 265542000</w:t>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Telemóvel</w:t>
            </w:r>
          </w:p>
        </w:tc>
        <w:tc>
          <w:tcPr>
            <w:tcW w:w="7939" w:type="dxa"/>
            <w:tcBorders/>
            <w:shd w:fill="auto" w:val="clear"/>
          </w:tcPr>
          <w:p>
            <w:pPr>
              <w:pStyle w:val="Normal"/>
              <w:widowControl/>
              <w:jc w:val="both"/>
              <w:rPr>
                <w:rFonts w:ascii="Century" w:hAnsi="Century" w:eastAsia="Calibri" w:cs=""/>
                <w:color w:val="002060"/>
                <w:sz w:val="28"/>
                <w:szCs w:val="22"/>
              </w:rPr>
            </w:pPr>
            <w:r>
              <w:rPr>
                <w:rFonts w:eastAsia="Calibri" w:cs="" w:ascii="Century" w:hAnsi="Century"/>
                <w:color w:val="002060"/>
                <w:sz w:val="28"/>
                <w:szCs w:val="22"/>
              </w:rPr>
            </w:r>
          </w:p>
        </w:tc>
      </w:tr>
      <w:tr>
        <w:trPr/>
        <w:tc>
          <w:tcPr>
            <w:tcW w:w="2516" w:type="dxa"/>
            <w:tcBorders/>
            <w:shd w:fill="auto" w:val="clear"/>
            <w:vAlign w:val="center"/>
          </w:tcPr>
          <w:p>
            <w:pPr>
              <w:pStyle w:val="Normal"/>
              <w:widowControl/>
              <w:rPr>
                <w:rFonts w:ascii="EC Square Sans Pro" w:hAnsi="EC Square Sans Pro"/>
                <w:color w:val="002060"/>
                <w:sz w:val="20"/>
              </w:rPr>
            </w:pPr>
            <w:r>
              <w:rPr>
                <w:rFonts w:eastAsia="Calibri" w:cs="" w:ascii="EC Square Sans Pro" w:hAnsi="EC Square Sans Pro" w:cstheme="minorBidi" w:eastAsiaTheme="minorHAnsi"/>
                <w:color w:val="002060"/>
                <w:sz w:val="20"/>
                <w:szCs w:val="22"/>
              </w:rPr>
              <w:t>Endereço eletrónico</w:t>
            </w:r>
          </w:p>
        </w:tc>
        <w:tc>
          <w:tcPr>
            <w:tcW w:w="7939" w:type="dxa"/>
            <w:tcBorders/>
            <w:shd w:fill="auto" w:val="clear"/>
          </w:tcPr>
          <w:p>
            <w:pPr>
              <w:pStyle w:val="Normal"/>
              <w:widowControl/>
              <w:jc w:val="both"/>
              <w:rPr/>
            </w:pPr>
            <w:hyperlink r:id="rId27">
              <w:r>
                <w:rPr>
                  <w:rStyle w:val="LigaodeInternet"/>
                  <w:rFonts w:eastAsia="Calibri" w:cs="" w:ascii="Calibri" w:hAnsi="Calibri" w:asciiTheme="minorHAnsi" w:cstheme="minorBidi" w:eastAsiaTheme="minorHAnsi" w:hAnsiTheme="minorHAnsi"/>
                  <w:color w:val="002060"/>
                  <w:sz w:val="28"/>
                  <w:szCs w:val="22"/>
                </w:rPr>
                <w:t>geral@apambiente.pt</w:t>
              </w:r>
            </w:hyperlink>
            <w:r>
              <w:rPr>
                <w:rFonts w:eastAsia="Calibri" w:cs="" w:ascii="Calibri" w:hAnsi="Calibri" w:asciiTheme="minorHAnsi" w:cstheme="minorBidi" w:eastAsiaTheme="minorHAnsi" w:hAnsiTheme="minorHAnsi"/>
                <w:color w:val="002060"/>
                <w:sz w:val="28"/>
                <w:szCs w:val="22"/>
              </w:rPr>
              <w:t xml:space="preserve"> / </w:t>
            </w:r>
            <w:hyperlink r:id="rId28">
              <w:r>
                <w:rPr>
                  <w:rStyle w:val="LigaodeInternet"/>
                  <w:rFonts w:eastAsia="Calibri" w:cs="" w:ascii="Calibri" w:hAnsi="Calibri" w:asciiTheme="minorHAnsi" w:cstheme="minorBidi" w:eastAsiaTheme="minorHAnsi" w:hAnsiTheme="minorHAnsi"/>
                  <w:color w:val="002060"/>
                  <w:sz w:val="28"/>
                  <w:szCs w:val="22"/>
                </w:rPr>
                <w:t>sg@sgambiente.gov.pt</w:t>
              </w:r>
            </w:hyperlink>
            <w:r>
              <w:rPr>
                <w:rFonts w:eastAsia="Calibri" w:cs="" w:ascii="Calibri" w:hAnsi="Calibri" w:asciiTheme="minorHAnsi" w:cstheme="minorBidi" w:eastAsiaTheme="minorHAnsi" w:hAnsiTheme="minorHAnsi"/>
                <w:color w:val="002060"/>
                <w:sz w:val="28"/>
                <w:szCs w:val="22"/>
              </w:rPr>
              <w:t xml:space="preserve"> / </w:t>
            </w:r>
            <w:hyperlink r:id="rId29">
              <w:r>
                <w:rPr>
                  <w:rStyle w:val="LigaodeInternet"/>
                  <w:rFonts w:eastAsia="Calibri" w:cs="" w:ascii="Calibri" w:hAnsi="Calibri" w:asciiTheme="minorHAnsi" w:cstheme="minorBidi" w:eastAsiaTheme="minorHAnsi" w:hAnsiTheme="minorHAnsi"/>
                  <w:color w:val="002060"/>
                  <w:sz w:val="28"/>
                  <w:szCs w:val="22"/>
                </w:rPr>
                <w:t>comunicacao@portodesetubal.pt</w:t>
              </w:r>
            </w:hyperlink>
            <w:r>
              <w:rPr>
                <w:rFonts w:eastAsia="Calibri" w:cs="" w:ascii="Calibri" w:hAnsi="Calibri" w:asciiTheme="minorHAnsi" w:cstheme="minorBidi" w:eastAsiaTheme="minorHAnsi" w:hAnsiTheme="minorHAnsi"/>
                <w:color w:val="002060"/>
                <w:sz w:val="28"/>
                <w:szCs w:val="22"/>
              </w:rPr>
              <w:t xml:space="preserve"> </w:t>
            </w:r>
          </w:p>
        </w:tc>
      </w:tr>
    </w:tbl>
    <w:p>
      <w:pPr>
        <w:pStyle w:val="Normal"/>
        <w:widowControl/>
        <w:jc w:val="both"/>
        <w:rPr>
          <w:rFonts w:ascii="EC Square Sans Cond Pro" w:hAnsi="EC Square Sans Cond Pro"/>
          <w:color w:val="0070C0"/>
          <w:sz w:val="20"/>
          <w:szCs w:val="22"/>
        </w:rPr>
      </w:pPr>
      <w:r>
        <w:rPr>
          <w:rFonts w:ascii="EC Square Sans Cond Pro" w:hAnsi="EC Square Sans Cond Pro"/>
          <w:color w:val="0070C0"/>
          <w:sz w:val="20"/>
          <w:szCs w:val="22"/>
        </w:rPr>
      </w:r>
    </w:p>
    <w:p>
      <w:pPr>
        <w:pStyle w:val="Normal"/>
        <w:widowControl/>
        <w:jc w:val="both"/>
        <w:rPr>
          <w:rFonts w:ascii="EC Square Sans Pro" w:hAnsi="EC Square Sans Pro"/>
          <w:color w:val="002060"/>
          <w:szCs w:val="22"/>
        </w:rPr>
      </w:pPr>
      <w:r>
        <w:rPr>
          <w:rFonts w:ascii="EC Square Sans Pro" w:hAnsi="EC Square Sans Pro"/>
          <w:color w:val="0070C0"/>
        </w:rPr>
        <w:t>2.1</w:t>
      </w:r>
      <w:r>
        <w:rPr>
          <w:rFonts w:ascii="EC Square Sans Pro" w:hAnsi="EC Square Sans Pro"/>
          <w:color w:val="002060"/>
        </w:rPr>
        <w:t xml:space="preserve"> Que </w:t>
      </w:r>
      <w:r>
        <w:rPr>
          <w:rFonts w:ascii="EC Square Sans Pro" w:hAnsi="EC Square Sans Pro"/>
          <w:b/>
          <w:color w:val="002060"/>
        </w:rPr>
        <w:t>medida ou medidas nacionais</w:t>
      </w:r>
      <w:r>
        <w:rPr>
          <w:rFonts w:ascii="EC Square Sans Pro" w:hAnsi="EC Square Sans Pro"/>
          <w:color w:val="002060"/>
        </w:rPr>
        <w:t xml:space="preserve"> considera que constituem uma infração ao direito europeu e porquê?*</w:t>
      </w:r>
    </w:p>
    <w:tbl>
      <w:tblPr>
        <w:tblStyle w:val="TableGrid"/>
        <w:tblW w:w="10682" w:type="dxa"/>
        <w:jc w:val="left"/>
        <w:tblInd w:w="0" w:type="dxa"/>
        <w:tblCellMar>
          <w:top w:w="0" w:type="dxa"/>
          <w:left w:w="108" w:type="dxa"/>
          <w:bottom w:w="0" w:type="dxa"/>
          <w:right w:w="108" w:type="dxa"/>
        </w:tblCellMar>
        <w:tblLook w:val="04a0"/>
      </w:tblPr>
      <w:tblGrid>
        <w:gridCol w:w="10682"/>
      </w:tblGrid>
      <w:tr>
        <w:trPr>
          <w:trHeight w:val="1562" w:hRule="atLeast"/>
        </w:trPr>
        <w:tc>
          <w:tcPr>
            <w:tcW w:w="10682" w:type="dxa"/>
            <w:tcBorders/>
            <w:shd w:fill="auto" w:val="clear"/>
          </w:tcPr>
          <w:p>
            <w:pPr>
              <w:pStyle w:val="Normal"/>
              <w:widowControl/>
              <w:jc w:val="both"/>
              <w:rPr/>
            </w:pPr>
            <w:r>
              <w:rPr>
                <w:rFonts w:eastAsia="Calibri" w:cs="" w:ascii="Century" w:hAnsi="Century"/>
                <w:color w:val="002060"/>
                <w:sz w:val="22"/>
                <w:szCs w:val="22"/>
              </w:rPr>
              <w:t xml:space="preserve">Implementação e Execução do Projecto de Melhoria das Acessibilidades Marítimas ao Porto de Setúbal (dragagem de 6.5000 milhões de m3 do Estuário do Sado), ampliação do terminal roll-on roll-off e  ampliação da estrutura do Porto de Setúbal – </w:t>
            </w:r>
            <w:r>
              <w:rPr>
                <w:rFonts w:eastAsia="Calibri" w:cs="" w:ascii="Century" w:hAnsi="Century"/>
                <w:color w:val="002060"/>
                <w:sz w:val="22"/>
                <w:szCs w:val="22"/>
              </w:rPr>
              <w:t xml:space="preserve">Projecto POCI-04-2655-FC-000006. </w:t>
            </w:r>
            <w:r>
              <w:rPr>
                <w:rFonts w:eastAsia="Calibri" w:cs="" w:ascii="Century" w:hAnsi="Century"/>
                <w:color w:val="002060"/>
                <w:sz w:val="22"/>
                <w:szCs w:val="22"/>
              </w:rPr>
              <w:t xml:space="preserve">A implementação deste projecto ocorre no enclave de inúmeras áreas protegidas, todas elas situadas na Zona de Protecção Especial do Estuário do Sado / Sitio de Interesse Comunitário, ignorando os graves riscos ambientais e sociais que a obra comporta, desvalorizando-os consecutivamente em EIA, resultando assim numa avaliação favorável condicionada (processo </w:t>
            </w:r>
            <w:r>
              <w:rPr>
                <w:rFonts w:eastAsia="Calibri" w:cs="" w:ascii="Century" w:hAnsi="Century"/>
                <w:color w:val="002060"/>
                <w:sz w:val="22"/>
                <w:szCs w:val="22"/>
              </w:rPr>
              <w:t xml:space="preserve">AIA </w:t>
            </w:r>
            <w:r>
              <w:rPr>
                <w:rFonts w:eastAsia="Calibri" w:cs="" w:ascii="Century" w:hAnsi="Century"/>
                <w:color w:val="002060"/>
                <w:sz w:val="22"/>
                <w:szCs w:val="22"/>
              </w:rPr>
              <w:t xml:space="preserve">nº2942) que permitiu o avanço da obra. É importante mencionar que o Estuário do Sado era uma das zonas previstas para inclusão na Rede Natura 2000, tendo </w:t>
            </w:r>
            <w:r>
              <w:rPr>
                <w:rFonts w:eastAsia="Calibri" w:cs="" w:ascii="Century" w:hAnsi="Century"/>
                <w:color w:val="002060"/>
                <w:sz w:val="22"/>
                <w:szCs w:val="22"/>
              </w:rPr>
              <w:t xml:space="preserve">esta </w:t>
            </w:r>
            <w:r>
              <w:rPr>
                <w:rFonts w:eastAsia="Calibri" w:cs="" w:ascii="Century" w:hAnsi="Century"/>
                <w:color w:val="002060"/>
                <w:sz w:val="22"/>
                <w:szCs w:val="22"/>
              </w:rPr>
              <w:t>sido arquivad</w:t>
            </w:r>
            <w:r>
              <w:rPr>
                <w:rFonts w:eastAsia="Calibri" w:cs="" w:ascii="Century" w:hAnsi="Century"/>
                <w:color w:val="002060"/>
                <w:sz w:val="22"/>
                <w:szCs w:val="22"/>
              </w:rPr>
              <w:t>a</w:t>
            </w:r>
            <w:r>
              <w:rPr>
                <w:rFonts w:eastAsia="Calibri" w:cs="" w:ascii="Century" w:hAnsi="Century"/>
                <w:color w:val="002060"/>
                <w:sz w:val="22"/>
                <w:szCs w:val="22"/>
              </w:rPr>
              <w:t xml:space="preserve"> compulsivamente pelo Estado Português (2018), sem que a equipa que realizou o trabalho de investigação – coordenados por Catarina Eira - compreendesse porquê. A não inclusão do Estuário do Sado na Rede Natura 2000 motivou, inclusivamente, uma condenação do Estado Português no TJUE.</w:t>
            </w:r>
          </w:p>
        </w:tc>
      </w:tr>
    </w:tbl>
    <w:p>
      <w:pPr>
        <w:pStyle w:val="Normal"/>
        <w:widowControl/>
        <w:jc w:val="both"/>
        <w:rPr>
          <w:rFonts w:ascii="EC Square Sans Pro" w:hAnsi="EC Square Sans Pro"/>
          <w:color w:val="0070C0"/>
          <w:sz w:val="20"/>
          <w:szCs w:val="22"/>
        </w:rPr>
      </w:pPr>
      <w:r>
        <w:rPr>
          <w:rFonts w:ascii="EC Square Sans Pro" w:hAnsi="EC Square Sans Pro"/>
          <w:color w:val="0070C0"/>
          <w:sz w:val="20"/>
          <w:szCs w:val="22"/>
        </w:rPr>
      </w:r>
    </w:p>
    <w:p>
      <w:pPr>
        <w:pStyle w:val="Normal"/>
        <w:widowControl/>
        <w:jc w:val="both"/>
        <w:rPr>
          <w:rFonts w:ascii="EC Square Sans Pro" w:hAnsi="EC Square Sans Pro"/>
          <w:color w:val="002060"/>
          <w:sz w:val="22"/>
          <w:szCs w:val="22"/>
        </w:rPr>
      </w:pPr>
      <w:r>
        <w:rPr>
          <w:rFonts w:ascii="EC Square Sans Pro" w:hAnsi="EC Square Sans Pro"/>
          <w:color w:val="0070C0"/>
        </w:rPr>
        <w:t>2.2</w:t>
      </w:r>
      <w:r>
        <w:rPr>
          <w:rFonts w:ascii="EC Square Sans Pro" w:hAnsi="EC Square Sans Pro"/>
          <w:color w:val="002060"/>
        </w:rPr>
        <w:t xml:space="preserve"> Qual é o </w:t>
      </w:r>
      <w:r>
        <w:rPr>
          <w:rFonts w:ascii="EC Square Sans Pro" w:hAnsi="EC Square Sans Pro"/>
          <w:b/>
          <w:color w:val="002060"/>
        </w:rPr>
        <w:t>ato legislativo da UE</w:t>
      </w:r>
      <w:r>
        <w:rPr>
          <w:rFonts w:ascii="EC Square Sans Pro" w:hAnsi="EC Square Sans Pro"/>
          <w:color w:val="002060"/>
        </w:rPr>
        <w:t xml:space="preserve"> em questão?</w:t>
      </w:r>
    </w:p>
    <w:tbl>
      <w:tblPr>
        <w:tblStyle w:val="TableGrid"/>
        <w:tblW w:w="10682" w:type="dxa"/>
        <w:jc w:val="left"/>
        <w:tblInd w:w="0" w:type="dxa"/>
        <w:tblCellMar>
          <w:top w:w="0" w:type="dxa"/>
          <w:left w:w="108" w:type="dxa"/>
          <w:bottom w:w="0" w:type="dxa"/>
          <w:right w:w="108" w:type="dxa"/>
        </w:tblCellMar>
        <w:tblLook w:val="04a0"/>
      </w:tblPr>
      <w:tblGrid>
        <w:gridCol w:w="10682"/>
      </w:tblGrid>
      <w:tr>
        <w:trPr>
          <w:trHeight w:val="1691" w:hRule="atLeast"/>
        </w:trPr>
        <w:tc>
          <w:tcPr>
            <w:tcW w:w="10682" w:type="dxa"/>
            <w:tcBorders/>
            <w:shd w:fill="auto" w:val="clear"/>
          </w:tcPr>
          <w:p>
            <w:pPr>
              <w:pStyle w:val="Normal"/>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 xml:space="preserve">São vários os actos legislativos da União Europeia que estão a ser postos em causa com a prossecução e insistência neste projecto, sendo estes: </w:t>
            </w:r>
          </w:p>
          <w:p>
            <w:pPr>
              <w:pStyle w:val="Normal"/>
              <w:widowControl/>
              <w:jc w:val="both"/>
              <w:rPr>
                <w:rFonts w:ascii="Calibri" w:hAnsi="Calibri" w:eastAsia="Calibri" w:cs="" w:asciiTheme="minorHAnsi" w:cstheme="minorBidi" w:eastAsiaTheme="minorHAnsi" w:hAnsiTheme="minorHAnsi"/>
                <w:szCs w:val="22"/>
              </w:rPr>
            </w:pPr>
            <w:r>
              <w:rPr>
                <w:rFonts w:eastAsia="Calibri" w:cs="" w:cstheme="minorBidi" w:eastAsiaTheme="minorHAnsi" w:ascii="Century" w:hAnsi="Century"/>
                <w:color w:val="002060"/>
                <w:sz w:val="22"/>
                <w:szCs w:val="22"/>
              </w:rPr>
              <w:t>1) violação do Principio da Precaução, artº 191 - Tratado de funcionamento da União Europeia. Foram inúmeros, todos eles documentados, os alertas da comunidade cientifica portuguesa quanto ao avanço de um projecto desta magnitude;</w:t>
            </w:r>
          </w:p>
          <w:p>
            <w:pPr>
              <w:pStyle w:val="Normal"/>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2) violação da Directiva 2008/56/CE – Quadro de acção comunitária no domínio da politica para o meio marinho – nos seus pontos fundadores 3, 5, 8, 10, 23, e 32 e, ainda, no ponto 3 do art 1º;</w:t>
            </w:r>
          </w:p>
          <w:p>
            <w:pPr>
              <w:pStyle w:val="Normal"/>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3) violação da Directiva 2014/52/UE – Efeitos de determinados projectos públicos e privados no ambiente – nos seus pontos fundadores 12, 13, 14, 15 e 16;</w:t>
            </w:r>
          </w:p>
          <w:p>
            <w:pPr>
              <w:pStyle w:val="Normal"/>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4) Violação da Convenção de Aarhus no que concerne os pontos 18, 19, 20, 22, 31 e 35, art 5º e art 6º;</w:t>
            </w:r>
          </w:p>
          <w:p>
            <w:pPr>
              <w:pStyle w:val="Normal"/>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5) Violação da Directiva 92/43/CEE no que respeita os pontos iii, iv e k; bem como o artº 2, artº 3, artº 4, artº 6, artº 8 e artº 10.</w:t>
            </w:r>
          </w:p>
        </w:tc>
      </w:tr>
    </w:tbl>
    <w:p>
      <w:pPr>
        <w:pStyle w:val="Normal"/>
        <w:widowControl/>
        <w:jc w:val="both"/>
        <w:rPr>
          <w:rFonts w:ascii="EC Square Sans Pro" w:hAnsi="EC Square Sans Pro"/>
          <w:color w:val="002060"/>
          <w:sz w:val="22"/>
          <w:szCs w:val="22"/>
        </w:rPr>
      </w:pPr>
      <w:r>
        <w:rPr>
          <w:rFonts w:ascii="EC Square Sans Pro" w:hAnsi="EC Square Sans Pro"/>
          <w:color w:val="0070C0"/>
        </w:rPr>
        <w:t>2.3</w:t>
      </w:r>
      <w:r>
        <w:rPr>
          <w:rFonts w:ascii="EC Square Sans Pro" w:hAnsi="EC Square Sans Pro"/>
          <w:color w:val="002060"/>
        </w:rPr>
        <w:t xml:space="preserve"> Descreva o problema, indicando os factos e os motivos que o levam a apresentar uma denúncia* (máximo: 7000 carateres):</w:t>
      </w:r>
    </w:p>
    <w:tbl>
      <w:tblPr>
        <w:tblStyle w:val="TableGrid"/>
        <w:tblW w:w="10682" w:type="dxa"/>
        <w:jc w:val="left"/>
        <w:tblInd w:w="0" w:type="dxa"/>
        <w:tblCellMar>
          <w:top w:w="0" w:type="dxa"/>
          <w:left w:w="108" w:type="dxa"/>
          <w:bottom w:w="0" w:type="dxa"/>
          <w:right w:w="108" w:type="dxa"/>
        </w:tblCellMar>
        <w:tblLook w:val="04a0"/>
      </w:tblPr>
      <w:tblGrid>
        <w:gridCol w:w="10682"/>
      </w:tblGrid>
      <w:tr>
        <w:trPr>
          <w:trHeight w:val="4113" w:hRule="atLeast"/>
        </w:trPr>
        <w:tc>
          <w:tcPr>
            <w:tcW w:w="10682" w:type="dxa"/>
            <w:tcBorders/>
            <w:shd w:fill="auto" w:val="clear"/>
          </w:tcPr>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O projecto de Melhoria das Acessibilidade Marítimas ao Porto de Setúbal é da iniciativa da Administração dos Portos de Setúbal e Sesimbra, SA (APSS) e envolve duas fases de dragagens do leito do rio numa quantidade estimada em 6,5 milhões de m3. </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O Estuário do Sado é u</w:t>
            </w:r>
            <w:r>
              <w:rPr>
                <w:rFonts w:eastAsia="Calibri" w:cs="" w:cstheme="minorBidi" w:eastAsiaTheme="minorHAnsi" w:ascii="Calibri" w:hAnsi="Calibri"/>
                <w:color w:val="000000"/>
                <w:szCs w:val="22"/>
              </w:rPr>
              <w:t>nico</w:t>
            </w:r>
            <w:r>
              <w:rPr>
                <w:rFonts w:eastAsia="Calibri" w:cs="" w:cstheme="minorBidi" w:eastAsiaTheme="minorHAnsi" w:ascii="Calibri" w:hAnsi="Calibri"/>
                <w:szCs w:val="22"/>
              </w:rPr>
              <w:t xml:space="preserve"> em biodiversidade em Portugal. Os vários impactes negativos identificados em sede de Avaliação de Impacte Ambiental deste projecto comprometem irremediavelmente a biodiversidade aí existente.</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O parecer da Comissão da Avaliação do Estudo de Impacte Ambiental refere a sistemática subavaliação dos impactes, elencando em alternativa um conjunto alargado de impactes negativos, que se prendem com a geologia e geomorfologia, a ecologia, os recursos hídricos, os recursos marinhos, a economia estuarina já existente, o ruído, a qualidade do ar, o património e a integração paisagística.</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O grau de sensibilidade da zona afectada pela obra pode ser aferido pelo facto de que o </w:t>
            </w:r>
            <w:r>
              <w:rPr>
                <w:rFonts w:eastAsia="Calibri" w:cs="" w:cstheme="minorBidi" w:eastAsiaTheme="minorHAnsi" w:ascii="Calibri" w:hAnsi="Calibri"/>
                <w:color w:val="1C1E21"/>
                <w:szCs w:val="22"/>
              </w:rPr>
              <w:t xml:space="preserve">polígono de implantação do canal a dragar encontra-se a uma </w:t>
            </w:r>
            <w:r>
              <w:rPr>
                <w:rFonts w:eastAsia="Calibri" w:cs="" w:cstheme="minorBidi" w:eastAsiaTheme="minorHAnsi" w:ascii="Calibri" w:hAnsi="Calibri"/>
                <w:b/>
                <w:color w:val="1C1E21"/>
                <w:szCs w:val="22"/>
              </w:rPr>
              <w:t>distância aproximada de 250m do limite do Parque Marinho Professor Luiz Saldanha</w:t>
            </w:r>
            <w:r>
              <w:rPr>
                <w:rFonts w:eastAsia="Calibri" w:cs="" w:cstheme="minorBidi" w:eastAsiaTheme="minorHAnsi" w:ascii="Calibri" w:hAnsi="Calibri"/>
                <w:color w:val="1C1E21"/>
                <w:szCs w:val="22"/>
              </w:rPr>
              <w:t>, criado pelo decreto regulamentar nº 23/98, de 28 de julho.</w:t>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color w:val="1C1E21"/>
                <w:szCs w:val="22"/>
              </w:rPr>
              <w:t>Importa também referir as Zonas de Protecção Especial (ZEP) que envolvem a àrea da intervenção planeada:</w:t>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color w:val="1C1E21"/>
                <w:szCs w:val="22"/>
              </w:rPr>
              <w:t>- Reserva Natural do Estuário do Sado;</w:t>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color w:val="1C1E21"/>
                <w:szCs w:val="22"/>
              </w:rPr>
              <w:t>- Zona de Proteção Especial para as Aves do Estuário do Sado</w:t>
            </w:r>
            <w:r>
              <w:rPr>
                <w:rFonts w:eastAsia="Calibri" w:cs="" w:cstheme="minorBidi" w:eastAsiaTheme="minorHAnsi" w:ascii="Calibri" w:hAnsi="Calibri"/>
                <w:color w:val="1C1E21"/>
                <w:szCs w:val="22"/>
              </w:rPr>
              <w:t xml:space="preserve"> (PTZPE011);</w:t>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color w:val="1C1E21"/>
                <w:szCs w:val="22"/>
              </w:rPr>
              <w:t>- Sítio de Importância Comunitária do Estuário do Sado</w:t>
            </w:r>
            <w:r>
              <w:rPr>
                <w:rFonts w:eastAsia="Calibri" w:cs="" w:cstheme="minorBidi" w:eastAsiaTheme="minorHAnsi" w:ascii="Calibri" w:hAnsi="Calibri"/>
                <w:color w:val="1C1E21"/>
                <w:szCs w:val="22"/>
              </w:rPr>
              <w:t xml:space="preserve"> (PTCON0011);</w:t>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color w:val="1C1E21"/>
                <w:szCs w:val="22"/>
              </w:rPr>
              <w:t xml:space="preserve">- Sítio Ramsar </w:t>
            </w:r>
            <w:r>
              <w:rPr>
                <w:rFonts w:eastAsia="Calibri" w:cs="" w:cstheme="minorBidi" w:eastAsiaTheme="minorHAnsi" w:ascii="Calibri" w:hAnsi="Calibri"/>
                <w:color w:val="1C1E21"/>
                <w:szCs w:val="22"/>
              </w:rPr>
              <w:t>(3PT007);</w:t>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color w:val="1C1E21"/>
                <w:szCs w:val="22"/>
              </w:rPr>
              <w:t>- Important Bird Area</w:t>
            </w:r>
            <w:r>
              <w:rPr>
                <w:rFonts w:eastAsia="Calibri" w:cs="" w:cstheme="minorBidi" w:eastAsiaTheme="minorHAnsi" w:ascii="Calibri" w:hAnsi="Calibri"/>
                <w:color w:val="1C1E21"/>
                <w:szCs w:val="22"/>
              </w:rPr>
              <w:t xml:space="preserve"> (IBA PT023);</w:t>
            </w:r>
          </w:p>
          <w:p>
            <w:pPr>
              <w:pStyle w:val="TextBody"/>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color w:val="1C1E21"/>
                <w:szCs w:val="22"/>
              </w:rPr>
              <w:t>- Parque Natural da Arrábida</w:t>
            </w:r>
            <w:r>
              <w:rPr>
                <w:rFonts w:eastAsia="Calibri" w:cs="" w:cstheme="minorBidi" w:eastAsiaTheme="minorHAnsi" w:ascii="Calibri" w:hAnsi="Calibri"/>
                <w:color w:val="1C1E21"/>
                <w:szCs w:val="22"/>
              </w:rPr>
              <w:t>;</w:t>
            </w:r>
          </w:p>
          <w:p>
            <w:pPr>
              <w:pStyle w:val="TextBody"/>
              <w:spacing w:lineRule="auto" w:line="276" w:before="0" w:after="184"/>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color w:val="1C1E21"/>
                <w:szCs w:val="22"/>
              </w:rPr>
              <w:t>- Biótopo Corine</w:t>
            </w:r>
            <w:r>
              <w:rPr>
                <w:rFonts w:eastAsia="Calibri" w:cs="" w:cstheme="minorBidi" w:eastAsiaTheme="minorHAnsi" w:ascii="Calibri" w:hAnsi="Calibri"/>
                <w:color w:val="1C1E21"/>
                <w:szCs w:val="22"/>
              </w:rPr>
              <w:t xml:space="preserve"> (C14100013).</w:t>
            </w:r>
          </w:p>
          <w:p>
            <w:pPr>
              <w:pStyle w:val="TextBody"/>
              <w:spacing w:lineRule="auto" w:line="276" w:before="0" w:after="184"/>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Este projecto é uma regurgitação de outra proposta semelhante feita em </w:t>
            </w:r>
            <w:r>
              <w:rPr>
                <w:rFonts w:eastAsia="Calibri" w:cs="" w:cstheme="minorBidi" w:eastAsiaTheme="minorHAnsi" w:ascii="Calibri" w:hAnsi="Calibri"/>
                <w:b/>
                <w:szCs w:val="22"/>
              </w:rPr>
              <w:t>1995</w:t>
            </w:r>
            <w:r>
              <w:rPr>
                <w:rFonts w:eastAsia="Calibri" w:cs="" w:cstheme="minorBidi" w:eastAsiaTheme="minorHAnsi" w:ascii="Calibri" w:hAnsi="Calibri"/>
                <w:szCs w:val="22"/>
              </w:rPr>
              <w:t xml:space="preserve"> pela APSS e que recebeu na altura parecer rotundamente desfavorável, sendo frisados a importância primordial e sensibilidade do património natural afectado, e a dimensão desproporcionada do projecto. Foram à altura apreciados factores inexistentes na avaliação actual, como o impacte negativo na pré-existente economia estuarina ou a forte susceptibilidade à sismologia.</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O parecer da Comissão de Avaliação do EIA identificou </w:t>
            </w:r>
            <w:r>
              <w:rPr>
                <w:rFonts w:eastAsia="Calibri" w:cs="" w:cstheme="minorBidi" w:eastAsiaTheme="minorHAnsi" w:ascii="Calibri" w:hAnsi="Calibri"/>
                <w:b/>
                <w:bCs/>
                <w:szCs w:val="22"/>
              </w:rPr>
              <w:t>vários impactes negativos:</w:t>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b/>
                <w:bCs/>
                <w:szCs w:val="22"/>
              </w:rPr>
              <w:t>-</w:t>
            </w:r>
            <w:r>
              <w:rPr>
                <w:rFonts w:eastAsia="Calibri" w:cs="" w:cstheme="minorBidi" w:eastAsiaTheme="minorHAnsi" w:ascii="Calibri" w:hAnsi="Calibri"/>
                <w:szCs w:val="22"/>
              </w:rPr>
              <w:t>riscos para a fauna e flora estuarina (fuga da comunidade de golfinhos roazes e/ou dificuldade de renovação geracional, destruição de maternidades e fontes de alimento das espécies endémicas, destruição das pradarias marinhas)</w:t>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-erosão costeira</w:t>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-destruição de património arqueológico submerso (96 ocorrências patrimoniais na área intervencionada)</w:t>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-impactos na sustentabilidade da indústria pesqueira local (morte da comunidade endobentónica). </w:t>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Alguns destes impactes são referidos como sendo irreversíveis. </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A decisão final foi no entanto “favorável condicionada” em virtude da relevância dada aos factores socioeconómicos previstos no EIA e que se traduzem em números de criação de emprego pouco esclarecedores e susceptíveis de interpretação errónea, provenientes de um estudo de viabilidade económico que nunca foi entregue na APA para apreciação. Este facto foi admitido pelo Presidente da APA num oficio de resposta ao PAN em sede de Assembleia da República.</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O EIA do projecto actual foi produzido em </w:t>
            </w:r>
            <w:r>
              <w:rPr>
                <w:rFonts w:eastAsia="Calibri" w:cs="" w:cstheme="minorBidi" w:eastAsiaTheme="minorHAnsi" w:ascii="Calibri" w:hAnsi="Calibri"/>
                <w:b/>
                <w:szCs w:val="22"/>
              </w:rPr>
              <w:t>2016</w:t>
            </w:r>
            <w:r>
              <w:rPr>
                <w:rFonts w:eastAsia="Calibri" w:cs="" w:cstheme="minorBidi" w:eastAsiaTheme="minorHAnsi" w:ascii="Calibri" w:hAnsi="Calibri"/>
                <w:szCs w:val="22"/>
              </w:rPr>
              <w:t xml:space="preserve"> e submetido a avaliação pela APA. O procedimento de Avaliação de Impacte Ambiental teve o seu início no dia 29/11/2016, e neste âmbito foi aberto um período de consulta pública que decorreu entre 22/03/2017 e 19/04/2017.</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À data em que a Declaração de Impacte Ambiental (DIA) é emitida, estavam ainda em falta inúmeros pontos das “medidas a apresentar em fase prévia à obra”, sendo que </w:t>
            </w:r>
            <w:r>
              <w:rPr>
                <w:rFonts w:eastAsia="Calibri" w:cs="" w:cstheme="minorBidi" w:eastAsiaTheme="minorHAnsi" w:ascii="Calibri" w:hAnsi="Calibri"/>
                <w:b/>
                <w:bCs/>
                <w:szCs w:val="22"/>
              </w:rPr>
              <w:t xml:space="preserve">um ano e cinco meses após a emissão do Título Único Ambiental </w:t>
            </w:r>
            <w:r>
              <w:rPr>
                <w:rFonts w:eastAsia="Calibri" w:cs="" w:cstheme="minorBidi" w:eastAsiaTheme="minorHAnsi" w:ascii="Calibri" w:hAnsi="Calibri"/>
                <w:szCs w:val="22"/>
              </w:rPr>
              <w:t xml:space="preserve">o Instituto para a Conservação da Natureza e das Florestas </w:t>
            </w:r>
            <w:r>
              <w:rPr>
                <w:rFonts w:eastAsia="Times New Roman" w:cs="Arial" w:ascii="Calibri" w:hAnsi="Calibri"/>
                <w:color w:val="000000"/>
                <w:szCs w:val="22"/>
                <w:lang w:eastAsia="pt-PT"/>
              </w:rPr>
              <w:t xml:space="preserve">referia em ofício que </w:t>
            </w:r>
            <w:r>
              <w:rPr>
                <w:rFonts w:eastAsia="Times New Roman" w:cs="Arial" w:ascii="Calibri" w:hAnsi="Calibri"/>
                <w:b/>
                <w:bCs/>
                <w:color w:val="000000"/>
                <w:szCs w:val="22"/>
                <w:lang w:eastAsia="pt-PT"/>
              </w:rPr>
              <w:t>havia ainda elementos importantes em falta e outros cuja metodologia é inadequada ou indefinida</w:t>
            </w:r>
            <w:r>
              <w:rPr>
                <w:rFonts w:eastAsia="Times New Roman" w:cs="Arial" w:ascii="Calibri" w:hAnsi="Calibri"/>
                <w:color w:val="000000"/>
                <w:szCs w:val="22"/>
                <w:lang w:eastAsia="pt-PT"/>
              </w:rPr>
              <w:t xml:space="preserve"> na documentação entregue pela APSS.</w:t>
            </w:r>
          </w:p>
          <w:p>
            <w:pPr>
              <w:pStyle w:val="Normal"/>
              <w:spacing w:lineRule="auto" w:line="276"/>
              <w:rPr>
                <w:rFonts w:ascii="Calibri" w:hAnsi="Calibri" w:eastAsia="Calibri" w:cs="" w:asciiTheme="minorHAnsi" w:cstheme="minorBidi" w:eastAsiaTheme="minorHAnsi" w:hAnsiTheme="minorHAnsi"/>
                <w:szCs w:val="22"/>
              </w:rPr>
            </w:pPr>
            <w:r>
              <w:rPr>
                <w:rFonts w:eastAsia="Times New Roman" w:cs="Arial" w:ascii="Calibri" w:hAnsi="Calibri"/>
                <w:color w:val="000000"/>
                <w:szCs w:val="22"/>
                <w:lang w:eastAsia="pt-PT"/>
              </w:rPr>
              <w:t>Este padrão repete-se no protelamento da entrega de vários elementos fundamentais para a apreciação das diferentes fases do processo, sendo que mais de um ano após o período de consulta pública do projecto ainda se aguardava a produção e entrega de vários materiais necessários à correcta análise e compreensão dos impactes da obra.</w:t>
            </w:r>
          </w:p>
          <w:p>
            <w:pPr>
              <w:pStyle w:val="Normal"/>
              <w:spacing w:lineRule="auto" w:line="276"/>
              <w:rPr>
                <w:rFonts w:ascii="Times New Roman" w:hAnsi="Times New Roman" w:eastAsia="Times New Roman" w:cs="Arial"/>
                <w:color w:val="000000"/>
                <w:szCs w:val="22"/>
                <w:lang w:eastAsia="pt-PT"/>
              </w:rPr>
            </w:pPr>
            <w:r>
              <w:rPr>
                <w:rFonts w:eastAsia="Times New Roman" w:cs="Arial"/>
                <w:color w:val="000000"/>
                <w:szCs w:val="22"/>
                <w:lang w:eastAsia="pt-PT"/>
              </w:rPr>
            </w:r>
          </w:p>
          <w:p>
            <w:pPr>
              <w:pStyle w:val="Normal"/>
              <w:spacing w:lineRule="auto" w:line="276"/>
              <w:rPr>
                <w:rFonts w:ascii="Calibri" w:hAnsi="Calibri" w:eastAsia="Calibri" w:cs="" w:asciiTheme="minorHAnsi" w:cstheme="minorBidi" w:eastAsiaTheme="minorHAnsi" w:hAnsiTheme="minorHAnsi"/>
                <w:szCs w:val="22"/>
              </w:rPr>
            </w:pPr>
            <w:r>
              <w:rPr>
                <w:rFonts w:eastAsia="Times New Roman" w:cs="Arial" w:ascii="Calibri" w:hAnsi="Calibri"/>
                <w:color w:val="000000"/>
                <w:szCs w:val="22"/>
                <w:lang w:eastAsia="pt-PT"/>
              </w:rPr>
              <w:t>À data em que a DIA é emitida (27/07/2017) havia um vastíssimo conjunto de documentos que não haviam sido entregues à autoridade de AIA e, consequentemente, em razão da data, não tinham sido submetidos ao escrutínio da consulta pública.</w:t>
            </w:r>
          </w:p>
          <w:p>
            <w:pPr>
              <w:pStyle w:val="Normal"/>
              <w:spacing w:lineRule="auto" w:line="276"/>
              <w:rPr>
                <w:rFonts w:ascii="Times New Roman" w:hAnsi="Times New Roman" w:eastAsia="Times New Roman" w:cs="Arial"/>
                <w:color w:val="000000"/>
                <w:szCs w:val="22"/>
                <w:lang w:eastAsia="pt-PT"/>
              </w:rPr>
            </w:pPr>
            <w:r>
              <w:rPr>
                <w:rFonts w:eastAsia="Times New Roman" w:cs="Arial"/>
                <w:color w:val="000000"/>
                <w:szCs w:val="22"/>
                <w:lang w:eastAsia="pt-PT"/>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 xml:space="preserve">O que sucede desde então é que a APA autoriza as fases sucessivas da obra sem confirmar se os elementos entregues são suficientes ou cumprem os requisitos, fazendo uso político da sua prerrogativa de autoridade de avaliação ambiental, ou autorizando avanços enquanto espera por elementos prévios ou pela apreciação das diferentes entidades a esses mesmos elementos. </w:t>
            </w:r>
          </w:p>
          <w:p>
            <w:pPr>
              <w:pStyle w:val="Normal"/>
              <w:spacing w:lineRule="auto" w:line="276"/>
              <w:rPr>
                <w:rFonts w:ascii="Calibri" w:hAnsi="Calibri" w:eastAsia="Calibri" w:cs="" w:asciiTheme="minorHAnsi" w:cstheme="minorBidi" w:eastAsiaTheme="minorHAnsi" w:hAnsiTheme="minorHAnsi"/>
                <w:szCs w:val="22"/>
              </w:rPr>
            </w:pPr>
            <w:r>
              <w:rPr>
                <w:rFonts w:eastAsia="Times New Roman" w:cs="Arial" w:ascii="Calibri" w:hAnsi="Calibri"/>
                <w:color w:val="000000"/>
                <w:szCs w:val="22"/>
                <w:lang w:eastAsia="pt-PT"/>
              </w:rPr>
              <w:t xml:space="preserve">O melhor exemplo deste </w:t>
            </w:r>
            <w:r>
              <w:rPr>
                <w:rFonts w:eastAsia="Times New Roman" w:cs="Arial" w:ascii="Calibri" w:hAnsi="Calibri"/>
                <w:i/>
                <w:color w:val="000000"/>
                <w:szCs w:val="22"/>
                <w:lang w:eastAsia="pt-PT"/>
              </w:rPr>
              <w:t>modus operandi</w:t>
            </w:r>
            <w:r>
              <w:rPr>
                <w:rFonts w:eastAsia="Times New Roman" w:cs="Arial" w:ascii="Calibri" w:hAnsi="Calibri"/>
                <w:color w:val="000000"/>
                <w:szCs w:val="22"/>
                <w:lang w:eastAsia="pt-PT"/>
              </w:rPr>
              <w:t xml:space="preserve"> é a remoção de um afloramento arenítico que um estudo de 2005 identifica como sendo parte submersa de um monumento geológico com 2 milhões de anos conhecido como “Pedra Furada” e que faz parte da Rede Nacional de Monumentos Geologicos do Museu Nacional de História Natural. </w:t>
            </w:r>
          </w:p>
          <w:p>
            <w:pPr>
              <w:pStyle w:val="Normal"/>
              <w:spacing w:lineRule="auto" w:line="276"/>
              <w:rPr>
                <w:rFonts w:ascii="Times New Roman" w:hAnsi="Times New Roman" w:eastAsia="Times New Roman" w:cs="Arial"/>
                <w:color w:val="000000"/>
                <w:szCs w:val="22"/>
                <w:lang w:eastAsia="pt-PT"/>
              </w:rPr>
            </w:pPr>
            <w:r>
              <w:rPr>
                <w:rFonts w:eastAsia="Times New Roman" w:cs="Arial"/>
                <w:color w:val="000000"/>
                <w:szCs w:val="22"/>
                <w:lang w:eastAsia="pt-PT"/>
              </w:rPr>
            </w:r>
          </w:p>
          <w:p>
            <w:pPr>
              <w:pStyle w:val="Normal"/>
              <w:spacing w:lineRule="auto" w:line="276"/>
              <w:rPr>
                <w:rFonts w:ascii="Calibri" w:hAnsi="Calibri" w:eastAsia="Calibri" w:cs="" w:asciiTheme="minorHAnsi" w:cstheme="minorBidi" w:eastAsiaTheme="minorHAnsi" w:hAnsiTheme="minorHAnsi"/>
                <w:szCs w:val="22"/>
              </w:rPr>
            </w:pPr>
            <w:r>
              <w:rPr>
                <w:rFonts w:eastAsia="Times New Roman" w:cs="Arial" w:ascii="Calibri" w:hAnsi="Calibri"/>
                <w:color w:val="000000"/>
                <w:szCs w:val="22"/>
                <w:lang w:eastAsia="pt-PT"/>
              </w:rPr>
              <w:t>Muita da documentação científica produzida na fase de pós-avaliação do projecto revela factores adicionais de sensibilidade da zona intervencionada que não foram tidos em conta nos impactes iniciais previstos, e que já haviam sido tidos como subavaliados, sendo ainda ignorada a bibilografia científica já existente sobre a área, que releva riscos importantes para a saúde pública pela presença de um elevado potencial de toxicidade dos sedimentos, cujos efeitos negativos na saúde humana já foram alvo de investigação científica.</w:t>
            </w:r>
          </w:p>
          <w:p>
            <w:pPr>
              <w:pStyle w:val="Normal"/>
              <w:spacing w:lineRule="auto" w:line="276"/>
              <w:rPr>
                <w:rFonts w:ascii="Calibri" w:hAnsi="Calibri" w:eastAsia="Calibri" w:cs="" w:asciiTheme="minorHAnsi" w:cstheme="minorBidi" w:eastAsiaTheme="minorHAnsi" w:hAnsiTheme="minorHAnsi"/>
                <w:szCs w:val="22"/>
              </w:rPr>
            </w:pPr>
            <w:r>
              <w:rPr>
                <w:rFonts w:eastAsia="Times New Roman" w:cs="Arial" w:ascii="Calibri" w:hAnsi="Calibri"/>
                <w:color w:val="000000"/>
                <w:szCs w:val="22"/>
                <w:lang w:eastAsia="pt-PT"/>
              </w:rPr>
              <w:t>Exemplos disto são a descoberta de espécimens da</w:t>
            </w:r>
            <w:r>
              <w:rPr>
                <w:rFonts w:eastAsia="Times New Roman" w:cs="Arial" w:ascii="Calibri" w:hAnsi="Calibri"/>
                <w:i/>
                <w:iCs/>
                <w:color w:val="000000"/>
                <w:szCs w:val="22"/>
                <w:lang w:eastAsia="pt-PT"/>
              </w:rPr>
              <w:t xml:space="preserve"> Raja undulata </w:t>
            </w:r>
            <w:r>
              <w:rPr>
                <w:rFonts w:eastAsia="Times New Roman" w:cs="Arial" w:ascii="Calibri" w:hAnsi="Calibri"/>
                <w:i w:val="false"/>
                <w:iCs w:val="false"/>
                <w:color w:val="000000"/>
                <w:szCs w:val="22"/>
                <w:lang w:eastAsia="pt-PT"/>
              </w:rPr>
              <w:t>(</w:t>
            </w:r>
            <w:r>
              <w:rPr>
                <w:rFonts w:eastAsia="Times New Roman" w:cs="Arial" w:ascii="Calibri" w:hAnsi="Calibri"/>
                <w:color w:val="000000"/>
                <w:szCs w:val="22"/>
                <w:lang w:eastAsia="pt-PT"/>
              </w:rPr>
              <w:t>cujo estado de conservação é tido como “Em risco” na Lista Vermelha da IUCN), de uma significativa comunidade de cavalos marinhos ou a identificação de naufrágios e itens de interesse arqueológico sitos na zona intervencionada: estas revelações não originaram uma reavaliação dos impactes da obra, nem a alteração significativa dos respectivos procedimentos e medidas de monitorização.</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Este padrão de negligência repete-se nas alterações realizadas nos dias anteriores ao arranque da obra, em que os locais de deposição de dragados são substancialmente alterados, pretensamente por atenção às reivindicações da comunidade piscatória local, negligenciada em todo o processo de consulta pública. Uma das consequências destas alterações é a violação da legislação nacional, por deposição de dragados limpos fora da zona de deriva litoral.</w:t>
            </w:r>
          </w:p>
          <w:p>
            <w:pPr>
              <w:pStyle w:val="Normal"/>
              <w:spacing w:lineRule="auto" w:line="276"/>
              <w:rPr>
                <w:rFonts w:ascii="Calibri" w:hAnsi="Calibri" w:eastAsia="Calibri" w:cs="" w:asciiTheme="minorHAnsi" w:cstheme="minorBidi" w:eastAsiaTheme="minorHAnsi" w:hAnsiTheme="minorHAnsi"/>
                <w:szCs w:val="22"/>
              </w:rPr>
            </w:pPr>
            <w:r>
              <w:rPr>
                <w:rFonts w:eastAsia="Calibri" w:cs="" w:cstheme="minorBidi" w:eastAsiaTheme="minorHAnsi" w:ascii="Calibri" w:hAnsi="Calibri"/>
                <w:szCs w:val="22"/>
              </w:rPr>
              <w:t>Os vários relatos populares de arrojamentos de cetáceos e morte de lontras e aves na área de intervenção da draga não tiveram também respostas das autoridades.</w:t>
            </w:r>
          </w:p>
          <w:p>
            <w:pPr>
              <w:pStyle w:val="Normal"/>
              <w:spacing w:lineRule="auto" w:line="276"/>
              <w:rPr>
                <w:rFonts w:ascii="Times New Roman" w:hAnsi="Times New Roman" w:eastAsia="Calibri" w:cs="" w:cstheme="minorBidi" w:eastAsiaTheme="minorHAnsi"/>
                <w:szCs w:val="22"/>
              </w:rPr>
            </w:pPr>
            <w:r>
              <w:rPr>
                <w:rFonts w:eastAsia="Calibri" w:cs="" w:cstheme="minorBidi" w:eastAsiaTheme="minorHAnsi"/>
                <w:szCs w:val="22"/>
              </w:rPr>
            </w:r>
          </w:p>
          <w:p>
            <w:pPr>
              <w:pStyle w:val="Normal"/>
              <w:widowControl/>
              <w:spacing w:lineRule="auto" w:line="276"/>
              <w:jc w:val="both"/>
              <w:rPr>
                <w:rFonts w:ascii="Century" w:hAnsi="Century" w:eastAsia="Calibri" w:cs=""/>
                <w:color w:val="000000"/>
                <w:sz w:val="22"/>
                <w:szCs w:val="22"/>
              </w:rPr>
            </w:pPr>
            <w:r>
              <w:rPr>
                <w:rFonts w:eastAsia="Calibri" w:cs="" w:cstheme="minorBidi" w:eastAsiaTheme="minorHAnsi" w:ascii="Calibri" w:hAnsi="Calibri"/>
                <w:color w:val="000000"/>
                <w:sz w:val="22"/>
                <w:szCs w:val="22"/>
              </w:rPr>
              <w:t xml:space="preserve">Os graves riscos identificados, as incongruências e opacidade do projecto geraram uma onda de contestação popular, com manifestações e vigílias, petições e a aprovação de uma recomendação da Assembleia da República para suspensão da obra, sem efeitos até à data. Esta menorização do activismo cívico é acompanhada por obstaculizações e silêncio por parte das autoridades às queixas apresentadas por associações e movimentos. </w:t>
            </w:r>
          </w:p>
        </w:tc>
      </w:tr>
    </w:tbl>
    <w:p>
      <w:pPr>
        <w:pStyle w:val="Normal"/>
        <w:widowControl/>
        <w:jc w:val="both"/>
        <w:rPr>
          <w:rFonts w:ascii="EC Square Sans Cond Pro" w:hAnsi="EC Square Sans Cond Pro"/>
          <w:color w:val="0070C0"/>
          <w:szCs w:val="22"/>
        </w:rPr>
      </w:pPr>
      <w:r>
        <w:rPr>
          <w:rFonts w:ascii="EC Square Sans Cond Pro" w:hAnsi="EC Square Sans Cond Pro"/>
          <w:color w:val="0070C0"/>
          <w:szCs w:val="22"/>
        </w:rPr>
      </w:r>
    </w:p>
    <w:p>
      <w:pPr>
        <w:pStyle w:val="Normal"/>
        <w:widowControl/>
        <w:jc w:val="both"/>
        <w:rPr>
          <w:rFonts w:ascii="EC Square Sans Pro" w:hAnsi="EC Square Sans Pro"/>
          <w:color w:val="002060"/>
          <w:sz w:val="22"/>
          <w:szCs w:val="22"/>
        </w:rPr>
      </w:pPr>
      <w:r>
        <w:rPr>
          <w:rFonts w:ascii="EC Square Sans Pro" w:hAnsi="EC Square Sans Pro"/>
          <w:color w:val="0070C0"/>
        </w:rPr>
        <w:t>2.4</w:t>
      </w:r>
      <w:r>
        <w:rPr>
          <w:rFonts w:ascii="EC Square Sans Pro" w:hAnsi="EC Square Sans Pro"/>
          <w:color w:val="002060"/>
        </w:rPr>
        <w:t xml:space="preserve"> O país em questão recebeu (ou poderá vir a receber) financiamento da UE relacionado com o objeto da denúncia?</w:t>
      </w:r>
      <w:r>
        <w:rPr>
          <w:rFonts w:ascii="EC Square Sans Pro" w:hAnsi="EC Square Sans Pro"/>
          <w:color w:val="002060"/>
          <w:sz w:val="22"/>
        </w:rPr>
        <w:t xml:space="preserve">   </w:t>
      </w:r>
    </w:p>
    <w:p>
      <w:pPr>
        <w:pStyle w:val="Normal"/>
        <w:widowControl/>
        <w:jc w:val="both"/>
        <w:rPr>
          <w:rFonts w:ascii="EC Square Sans Pro" w:hAnsi="EC Square Sans Pro"/>
          <w:color w:val="002060"/>
          <w:sz w:val="22"/>
          <w:szCs w:val="22"/>
        </w:rPr>
      </w:pPr>
      <w:r>
        <w:rPr>
          <w:rFonts w:ascii="EC Square Sans Pro" w:hAnsi="EC Square Sans Pro"/>
          <w:color w:val="002060"/>
          <w:sz w:val="22"/>
          <w:szCs w:val="22"/>
        </w:rPr>
        <w:t>x</w:t>
      </w:r>
      <w:r>
        <w:rPr>
          <w:rFonts w:ascii="EC Square Sans Pro" w:hAnsi="EC Square Sans Pro"/>
          <w:color w:val="002060"/>
          <w:sz w:val="22"/>
        </w:rPr>
        <w:t xml:space="preserve"> </w:t>
      </w:r>
      <w:r>
        <w:rPr>
          <w:rFonts w:ascii="EC Square Sans Pro" w:hAnsi="EC Square Sans Pro"/>
          <w:color w:val="002060"/>
        </w:rPr>
        <w:t xml:space="preserve">Sim, especifique a seguir           </w:t>
      </w:r>
      <w:r>
        <w:rPr>
          <w:rFonts w:eastAsia="Wingdings" w:cs="Wingdings" w:ascii="Wingdings" w:hAnsi="Wingdings"/>
          <w:color w:val="002060"/>
          <w:sz w:val="22"/>
          <w:szCs w:val="22"/>
        </w:rPr>
        <w:t></w:t>
      </w:r>
      <w:r>
        <w:rPr>
          <w:rFonts w:ascii="EC Square Sans Pro" w:hAnsi="EC Square Sans Pro"/>
          <w:color w:val="002060"/>
          <w:sz w:val="22"/>
        </w:rPr>
        <w:t xml:space="preserve"> </w:t>
      </w:r>
      <w:r>
        <w:rPr>
          <w:rFonts w:ascii="EC Square Sans Pro" w:hAnsi="EC Square Sans Pro"/>
          <w:color w:val="002060"/>
        </w:rPr>
        <w:t xml:space="preserve">Não </w:t>
      </w:r>
      <w:r>
        <w:rPr>
          <w:rFonts w:ascii="EC Square Sans Pro" w:hAnsi="EC Square Sans Pro"/>
          <w:color w:val="002060"/>
          <w:sz w:val="22"/>
        </w:rPr>
        <w:t xml:space="preserve">                  </w:t>
      </w:r>
      <w:r>
        <w:rPr>
          <w:rFonts w:eastAsia="Wingdings" w:cs="Wingdings" w:ascii="Wingdings" w:hAnsi="Wingdings"/>
          <w:color w:val="002060"/>
          <w:sz w:val="22"/>
          <w:szCs w:val="22"/>
        </w:rPr>
        <w:t></w:t>
      </w:r>
      <w:r>
        <w:rPr>
          <w:rFonts w:ascii="EC Square Sans Pro" w:hAnsi="EC Square Sans Pro"/>
          <w:color w:val="002060"/>
          <w:sz w:val="22"/>
        </w:rPr>
        <w:t xml:space="preserve"> </w:t>
      </w:r>
      <w:r>
        <w:rPr>
          <w:rFonts w:ascii="EC Square Sans Pro" w:hAnsi="EC Square Sans Pro"/>
          <w:color w:val="002060"/>
        </w:rPr>
        <w:t>Não sei</w:t>
      </w:r>
    </w:p>
    <w:tbl>
      <w:tblPr>
        <w:tblStyle w:val="TableGrid"/>
        <w:tblW w:w="10682" w:type="dxa"/>
        <w:jc w:val="left"/>
        <w:tblInd w:w="0" w:type="dxa"/>
        <w:tblCellMar>
          <w:top w:w="0" w:type="dxa"/>
          <w:left w:w="108" w:type="dxa"/>
          <w:bottom w:w="0" w:type="dxa"/>
          <w:right w:w="108" w:type="dxa"/>
        </w:tblCellMar>
        <w:tblLook w:val="04a0"/>
      </w:tblPr>
      <w:tblGrid>
        <w:gridCol w:w="10682"/>
      </w:tblGrid>
      <w:tr>
        <w:trPr>
          <w:trHeight w:val="873" w:hRule="atLeast"/>
        </w:trPr>
        <w:tc>
          <w:tcPr>
            <w:tcW w:w="10682" w:type="dxa"/>
            <w:tcBorders/>
            <w:shd w:fill="auto" w:val="clear"/>
          </w:tcPr>
          <w:p>
            <w:pPr>
              <w:pStyle w:val="Normal"/>
              <w:widowControl/>
              <w:jc w:val="both"/>
              <w:rPr/>
            </w:pPr>
            <w:r>
              <w:rPr>
                <w:rFonts w:eastAsia="Calibri" w:cs="" w:ascii="Century" w:hAnsi="Century"/>
                <w:color w:val="002060"/>
                <w:sz w:val="22"/>
                <w:szCs w:val="22"/>
              </w:rPr>
              <w:t xml:space="preserve">Ao abrigo do PETI3+ a obra é co-financiada pela pelo programa COMPETE num total de 14 764 539,36 milhões de euros </w:t>
            </w:r>
            <w:r>
              <w:rPr>
                <w:rFonts w:eastAsia="Calibri" w:cs="" w:ascii="Century" w:hAnsi="Century"/>
                <w:color w:val="002060"/>
                <w:sz w:val="22"/>
                <w:szCs w:val="22"/>
              </w:rPr>
              <w:t xml:space="preserve">(ficha de projecto </w:t>
            </w:r>
            <w:r>
              <w:rPr>
                <w:rFonts w:ascii="Century" w:hAnsi="Century"/>
                <w:color w:val="002060"/>
                <w:sz w:val="22"/>
              </w:rPr>
              <w:t>POCI-04-2655-FC-000006</w:t>
            </w:r>
            <w:r>
              <w:rPr>
                <w:rFonts w:eastAsia="Calibri" w:cs="" w:ascii="Century" w:hAnsi="Century"/>
                <w:color w:val="002060"/>
                <w:sz w:val="22"/>
                <w:szCs w:val="22"/>
              </w:rPr>
              <w:t>).</w:t>
            </w:r>
          </w:p>
        </w:tc>
      </w:tr>
    </w:tbl>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EC Square Sans Pro" w:hAnsi="EC Square Sans Pro"/>
          <w:color w:val="002060"/>
          <w:sz w:val="22"/>
          <w:szCs w:val="22"/>
        </w:rPr>
      </w:pPr>
      <w:r>
        <w:rPr>
          <w:rFonts w:ascii="EC Square Sans Pro" w:hAnsi="EC Square Sans Pro"/>
          <w:color w:val="0070C0"/>
        </w:rPr>
        <w:t>2.5</w:t>
      </w:r>
      <w:r>
        <w:rPr>
          <w:rFonts w:ascii="EC Square Sans Pro" w:hAnsi="EC Square Sans Pro"/>
          <w:color w:val="002060"/>
        </w:rPr>
        <w:t xml:space="preserve"> A sua denúncia está relacionada com uma infração da Carta dos Direitos Fundamentais da União Europeia?</w:t>
      </w:r>
      <w:r>
        <w:rPr>
          <w:rFonts w:ascii="EC Square Sans Pro" w:hAnsi="EC Square Sans Pro"/>
          <w:color w:val="002060"/>
          <w:sz w:val="22"/>
        </w:rPr>
        <w:t xml:space="preserve"> </w:t>
      </w:r>
      <w:r>
        <w:rPr>
          <w:rFonts w:ascii="EC Square Sans Pro" w:hAnsi="EC Square Sans Pro"/>
          <w:color w:val="002060"/>
          <w:sz w:val="22"/>
          <w:szCs w:val="22"/>
        </w:rPr>
        <w:br/>
      </w:r>
      <w:r>
        <w:rPr>
          <w:rFonts w:ascii="EC Square Sans Pro" w:hAnsi="EC Square Sans Pro"/>
          <w:color w:val="002060"/>
          <w:sz w:val="18"/>
        </w:rPr>
        <w:t>A Comissão só pode investigar esses casos se a infração estiver relacionada com a aplicação do direito europeu a nível nacional.</w:t>
      </w:r>
    </w:p>
    <w:p>
      <w:pPr>
        <w:pStyle w:val="Normal"/>
        <w:widowControl/>
        <w:spacing w:before="0" w:after="200"/>
        <w:contextualSpacing/>
        <w:jc w:val="both"/>
        <w:rPr>
          <w:rFonts w:ascii="EC Square Sans Pro" w:hAnsi="EC Square Sans Pro"/>
          <w:color w:val="002060"/>
          <w:sz w:val="22"/>
          <w:szCs w:val="22"/>
        </w:rPr>
      </w:pPr>
      <w:r>
        <w:rPr>
          <w:rFonts w:ascii="EC Square Sans Pro" w:hAnsi="EC Square Sans Pro"/>
          <w:color w:val="002060"/>
          <w:sz w:val="22"/>
          <w:szCs w:val="22"/>
        </w:rPr>
        <w:t xml:space="preserve">x </w:t>
      </w:r>
      <w:r>
        <w:rPr>
          <w:rFonts w:ascii="EC Square Sans Pro" w:hAnsi="EC Square Sans Pro"/>
          <w:color w:val="002060"/>
        </w:rPr>
        <w:t>Sim, especifique a seguir</w:t>
      </w:r>
      <w:r>
        <w:rPr>
          <w:rFonts w:ascii="EC Square Sans Pro" w:hAnsi="EC Square Sans Pro"/>
          <w:color w:val="002060"/>
          <w:sz w:val="22"/>
        </w:rPr>
        <w:t xml:space="preserve">             </w:t>
      </w:r>
      <w:r>
        <w:rPr>
          <w:rFonts w:eastAsia="Wingdings" w:cs="Wingdings" w:ascii="Wingdings" w:hAnsi="Wingdings"/>
          <w:color w:val="002060"/>
          <w:sz w:val="22"/>
          <w:szCs w:val="22"/>
        </w:rPr>
        <w:t></w:t>
      </w:r>
      <w:r>
        <w:rPr>
          <w:rFonts w:ascii="EC Square Sans Pro" w:hAnsi="EC Square Sans Pro"/>
          <w:color w:val="002060"/>
          <w:sz w:val="22"/>
        </w:rPr>
        <w:t xml:space="preserve"> </w:t>
      </w:r>
      <w:r>
        <w:rPr>
          <w:rFonts w:ascii="EC Square Sans Pro" w:hAnsi="EC Square Sans Pro"/>
          <w:color w:val="002060"/>
        </w:rPr>
        <w:t>Não</w:t>
      </w:r>
      <w:r>
        <w:rPr/>
        <w:tab/>
        <w:tab/>
      </w:r>
      <w:r>
        <w:rPr>
          <w:rFonts w:ascii="EC Square Sans Pro" w:hAnsi="EC Square Sans Pro"/>
          <w:color w:val="002060"/>
          <w:sz w:val="22"/>
        </w:rPr>
        <w:t xml:space="preserve"> </w:t>
      </w:r>
      <w:r>
        <w:rPr>
          <w:rFonts w:eastAsia="Wingdings" w:cs="Wingdings" w:ascii="Wingdings" w:hAnsi="Wingdings"/>
          <w:color w:val="002060"/>
          <w:sz w:val="22"/>
          <w:szCs w:val="22"/>
        </w:rPr>
        <w:t></w:t>
      </w:r>
      <w:r>
        <w:rPr>
          <w:rFonts w:ascii="EC Square Sans Pro" w:hAnsi="EC Square Sans Pro"/>
          <w:color w:val="002060"/>
          <w:sz w:val="22"/>
        </w:rPr>
        <w:t xml:space="preserve"> </w:t>
      </w:r>
      <w:r>
        <w:rPr>
          <w:rFonts w:ascii="EC Square Sans Pro" w:hAnsi="EC Square Sans Pro"/>
          <w:color w:val="002060"/>
        </w:rPr>
        <w:t>Não sei</w:t>
      </w:r>
    </w:p>
    <w:tbl>
      <w:tblPr>
        <w:tblStyle w:val="TableGrid"/>
        <w:tblW w:w="10682" w:type="dxa"/>
        <w:jc w:val="left"/>
        <w:tblInd w:w="0" w:type="dxa"/>
        <w:tblCellMar>
          <w:top w:w="0" w:type="dxa"/>
          <w:left w:w="108" w:type="dxa"/>
          <w:bottom w:w="0" w:type="dxa"/>
          <w:right w:w="108" w:type="dxa"/>
        </w:tblCellMar>
        <w:tblLook w:val="04a0"/>
      </w:tblPr>
      <w:tblGrid>
        <w:gridCol w:w="10682"/>
      </w:tblGrid>
      <w:tr>
        <w:trPr>
          <w:trHeight w:val="1355" w:hRule="atLeast"/>
        </w:trPr>
        <w:tc>
          <w:tcPr>
            <w:tcW w:w="10682" w:type="dxa"/>
            <w:tcBorders/>
            <w:shd w:fill="auto" w:val="clear"/>
          </w:tcPr>
          <w:p>
            <w:pPr>
              <w:pStyle w:val="Normal"/>
              <w:widowControl/>
              <w:jc w:val="both"/>
              <w:rPr>
                <w:rFonts w:ascii="Century" w:hAnsi="Century" w:eastAsia="Calibri" w:cs=""/>
                <w:color w:val="002060"/>
                <w:sz w:val="22"/>
                <w:szCs w:val="22"/>
              </w:rPr>
            </w:pPr>
            <w:r>
              <w:rPr>
                <w:rFonts w:eastAsia="Calibri" w:cs="" w:ascii="Century" w:hAnsi="Century"/>
                <w:color w:val="002060"/>
                <w:sz w:val="22"/>
                <w:szCs w:val="22"/>
              </w:rPr>
            </w:r>
          </w:p>
          <w:p>
            <w:pPr>
              <w:pStyle w:val="Normal"/>
              <w:widowControl/>
              <w:jc w:val="both"/>
              <w:rPr>
                <w:rFonts w:ascii="Century" w:hAnsi="Century"/>
                <w:color w:val="002060"/>
              </w:rPr>
            </w:pPr>
            <w:r>
              <w:rPr>
                <w:rFonts w:eastAsia="Calibri" w:cs="" w:ascii="Century" w:hAnsi="Century" w:cstheme="minorBidi" w:eastAsiaTheme="minorHAnsi"/>
                <w:color w:val="002060"/>
                <w:sz w:val="22"/>
                <w:szCs w:val="22"/>
              </w:rPr>
              <w:t>Artº 12; artº 37 e artº 42</w:t>
            </w:r>
          </w:p>
          <w:p>
            <w:pPr>
              <w:pStyle w:val="Normal"/>
              <w:widowControl/>
              <w:jc w:val="both"/>
              <w:rPr>
                <w:rFonts w:ascii="Century" w:hAnsi="Century" w:eastAsia="Calibri" w:cs=""/>
                <w:color w:val="002060"/>
                <w:sz w:val="18"/>
                <w:szCs w:val="22"/>
              </w:rPr>
            </w:pPr>
            <w:r>
              <w:rPr>
                <w:rFonts w:eastAsia="Calibri" w:cs="" w:ascii="Century" w:hAnsi="Century"/>
                <w:color w:val="002060"/>
                <w:sz w:val="18"/>
                <w:szCs w:val="22"/>
              </w:rPr>
            </w:r>
          </w:p>
        </w:tc>
      </w:tr>
    </w:tbl>
    <w:p>
      <w:pPr>
        <w:pStyle w:val="Normal"/>
        <w:widowControl/>
        <w:spacing w:lineRule="auto" w:line="276" w:before="0" w:after="200"/>
        <w:jc w:val="both"/>
        <w:rPr>
          <w:rFonts w:ascii="Century" w:hAnsi="Century"/>
          <w:b/>
          <w:b/>
          <w:color w:val="002060"/>
          <w:sz w:val="20"/>
          <w:szCs w:val="22"/>
        </w:rPr>
      </w:pPr>
      <w:r>
        <w:rPr>
          <w:rFonts w:ascii="Century" w:hAnsi="Century"/>
          <w:b/>
          <w:color w:val="002060"/>
          <w:sz w:val="20"/>
          <w:szCs w:val="22"/>
        </w:rPr>
      </w:r>
    </w:p>
    <w:p>
      <w:pPr>
        <w:pStyle w:val="Normal"/>
        <w:widowControl/>
        <w:jc w:val="both"/>
        <w:rPr>
          <w:rFonts w:ascii="EC Square Sans Pro" w:hAnsi="EC Square Sans Pro"/>
          <w:color w:val="0070C0"/>
          <w:sz w:val="28"/>
          <w:szCs w:val="22"/>
        </w:rPr>
      </w:pPr>
      <w:r>
        <w:rPr>
          <w:rFonts w:ascii="EC Square Sans Pro" w:hAnsi="EC Square Sans Pro"/>
          <w:color w:val="0070C0"/>
          <w:sz w:val="28"/>
        </w:rPr>
        <w:t>3. Diligências já efetuadas para resolver o problema*</w:t>
      </w:r>
    </w:p>
    <w:p>
      <w:pPr>
        <w:pStyle w:val="Normal"/>
        <w:widowControl/>
        <w:spacing w:before="0" w:after="200"/>
        <w:contextualSpacing/>
        <w:jc w:val="both"/>
        <w:rPr>
          <w:rFonts w:ascii="EC Square Sans Pro" w:hAnsi="EC Square Sans Pro"/>
          <w:color w:val="002060"/>
          <w:szCs w:val="22"/>
        </w:rPr>
      </w:pPr>
      <w:r>
        <w:rPr>
          <w:rFonts w:ascii="EC Square Sans Pro" w:hAnsi="EC Square Sans Pro"/>
          <w:color w:val="002060"/>
        </w:rPr>
        <w:t>Já levou a cabo alguma diligência no país em questão para tentar resolver o problema?*</w:t>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mc:AlternateContent>
          <mc:Choice Requires="wps">
            <w:drawing>
              <wp:anchor behindDoc="0" distT="0" distB="0" distL="0" distR="0" simplePos="0" locked="0" layoutInCell="1" allowOverlap="1" relativeHeight="2">
                <wp:simplePos x="0" y="0"/>
                <wp:positionH relativeFrom="column">
                  <wp:posOffset>635</wp:posOffset>
                </wp:positionH>
                <wp:positionV relativeFrom="paragraph">
                  <wp:posOffset>81915</wp:posOffset>
                </wp:positionV>
                <wp:extent cx="6394450" cy="3249295"/>
                <wp:effectExtent l="0" t="0" r="0" b="0"/>
                <wp:wrapNone/>
                <wp:docPr id="2" name="Moldura1"/>
                <a:graphic xmlns:a="http://schemas.openxmlformats.org/drawingml/2006/main">
                  <a:graphicData uri="http://schemas.microsoft.com/office/word/2010/wordprocessingShape">
                    <wps:wsp>
                      <wps:cNvSpPr/>
                      <wps:spPr>
                        <a:xfrm>
                          <a:off x="0" y="0"/>
                          <a:ext cx="6393960" cy="3248640"/>
                        </a:xfrm>
                        <a:prstGeom prst="rect">
                          <a:avLst/>
                        </a:prstGeom>
                        <a:solidFill>
                          <a:srgbClr val="d8d8d8"/>
                        </a:solidFill>
                        <a:ln w="19080">
                          <a:solidFill>
                            <a:srgbClr val="243f60"/>
                          </a:solidFill>
                          <a:round/>
                        </a:ln>
                      </wps:spPr>
                      <wps:style>
                        <a:lnRef idx="0"/>
                        <a:fillRef idx="0"/>
                        <a:effectRef idx="0"/>
                        <a:fontRef idx="minor"/>
                      </wps:style>
                      <wps:txbx>
                        <w:txbxContent>
                          <w:p>
                            <w:pPr>
                              <w:pStyle w:val="Contedodamoldura"/>
                              <w:widowControl/>
                              <w:jc w:val="both"/>
                              <w:rPr/>
                            </w:pPr>
                            <w:r>
                              <w:rPr>
                                <w:rFonts w:ascii="EC Square Sans Pro" w:hAnsi="EC Square Sans Pro"/>
                                <w:b/>
                                <w:color w:val="002060"/>
                              </w:rPr>
                              <w:t>SE SIM</w:t>
                            </w:r>
                            <w:r>
                              <w:rPr>
                                <w:rFonts w:ascii="EC Square Sans Pro" w:hAnsi="EC Square Sans Pro"/>
                                <w:color w:val="002060"/>
                                <w:sz w:val="22"/>
                              </w:rPr>
                              <w:t xml:space="preserve">, tratou-se de uma diligência: </w:t>
                            </w:r>
                            <w:r>
                              <w:rPr>
                                <w:rFonts w:ascii="EC Square Sans Pro" w:hAnsi="EC Square Sans Pro"/>
                                <w:color w:val="auto"/>
                              </w:rPr>
                              <w:t xml:space="preserve"> </w:t>
                            </w:r>
                            <w:r>
                              <w:rPr>
                                <w:rFonts w:eastAsia="Wingdings" w:cs="Wingdings" w:ascii="Wingdings" w:hAnsi="Wingdings"/>
                                <w:color w:val="002060"/>
                                <w:sz w:val="22"/>
                                <w:szCs w:val="22"/>
                              </w:rPr>
                              <w:t>X</w:t>
                            </w:r>
                            <w:r>
                              <w:rPr>
                                <w:rFonts w:ascii="EC Square Sans Pro" w:hAnsi="EC Square Sans Pro"/>
                                <w:color w:val="002060"/>
                                <w:sz w:val="22"/>
                              </w:rPr>
                              <w:t xml:space="preserve"> administrativa       </w:t>
                            </w:r>
                            <w:r>
                              <w:rPr>
                                <w:rFonts w:eastAsia="Wingdings" w:cs="Wingdings" w:ascii="Wingdings" w:hAnsi="Wingdings"/>
                                <w:color w:val="002060"/>
                                <w:sz w:val="22"/>
                                <w:szCs w:val="22"/>
                              </w:rPr>
                              <w:t>X</w:t>
                            </w:r>
                            <w:r>
                              <w:rPr>
                                <w:rFonts w:ascii="EC Square Sans Pro" w:hAnsi="EC Square Sans Pro"/>
                                <w:color w:val="002060"/>
                                <w:sz w:val="22"/>
                              </w:rPr>
                              <w:t xml:space="preserve"> legal</w:t>
                            </w:r>
                          </w:p>
                          <w:p>
                            <w:pPr>
                              <w:pStyle w:val="Contedodamoldura"/>
                              <w:jc w:val="center"/>
                              <w:rPr>
                                <w:rFonts w:ascii="EC Square Sans Pro" w:hAnsi="EC Square Sans Pro"/>
                                <w:sz w:val="20"/>
                              </w:rPr>
                            </w:pPr>
                            <w:r>
                              <w:rPr>
                                <w:rFonts w:ascii="EC Square Sans Pro" w:hAnsi="EC Square Sans Pro"/>
                                <w:sz w:val="20"/>
                              </w:rPr>
                            </w:r>
                          </w:p>
                          <w:p>
                            <w:pPr>
                              <w:pStyle w:val="Contedodamoldura"/>
                              <w:rPr>
                                <w:rFonts w:ascii="EC Square Sans Pro" w:hAnsi="EC Square Sans Pro"/>
                                <w:sz w:val="20"/>
                              </w:rPr>
                            </w:pPr>
                            <w:r>
                              <w:rPr>
                                <w:rFonts w:ascii="EC Square Sans Pro" w:hAnsi="EC Square Sans Pro"/>
                                <w:color w:val="0070C0"/>
                              </w:rPr>
                              <w:t>3.1</w:t>
                            </w:r>
                            <w:r>
                              <w:rPr>
                                <w:rFonts w:ascii="EC Square Sans Pro" w:hAnsi="EC Square Sans Pro"/>
                                <w:color w:val="002060"/>
                              </w:rPr>
                              <w:t xml:space="preserve"> Descreva: a) o organismo/autoridade/tribunal envolvido e o tipo de decisão a que chegou; b) qualquer outra diligência de que tenha conhecimento.</w:t>
                            </w:r>
                          </w:p>
                          <w:tbl>
                            <w:tblPr>
                              <w:tblStyle w:val="TableGrid"/>
                              <w:tblW w:w="9747" w:type="dxa"/>
                              <w:jc w:val="left"/>
                              <w:tblInd w:w="108" w:type="dxa"/>
                              <w:tblCellMar>
                                <w:top w:w="0" w:type="dxa"/>
                                <w:left w:w="108" w:type="dxa"/>
                                <w:bottom w:w="0" w:type="dxa"/>
                                <w:right w:w="108" w:type="dxa"/>
                              </w:tblCellMar>
                              <w:tblLook w:val="04a0"/>
                            </w:tblPr>
                            <w:tblGrid>
                              <w:gridCol w:w="9747"/>
                            </w:tblGrid>
                            <w:tr>
                              <w:trPr>
                                <w:trHeight w:val="921" w:hRule="atLeast"/>
                              </w:trPr>
                              <w:tc>
                                <w:tcPr>
                                  <w:tcW w:w="9747" w:type="dxa"/>
                                  <w:tcBorders/>
                                  <w:shd w:color="auto" w:fill="FFFFFF" w:themeFill="background1" w:val="clear"/>
                                </w:tcPr>
                                <w:p>
                                  <w:pPr>
                                    <w:pStyle w:val="Contedodamoldura"/>
                                    <w:widowControl/>
                                    <w:jc w:val="both"/>
                                    <w:rPr>
                                      <w:rFonts w:ascii="Calibri" w:hAnsi="Calibri" w:eastAsia="Calibri" w:cs="" w:asciiTheme="minorHAnsi" w:cstheme="minorBidi" w:eastAsiaTheme="minorHAnsi" w:hAnsiTheme="minorHAnsi"/>
                                      <w:szCs w:val="22"/>
                                    </w:rPr>
                                  </w:pPr>
                                  <w:r>
                                    <w:rPr>
                                      <w:rFonts w:eastAsia="Calibri" w:cs="" w:cstheme="minorBidi" w:eastAsiaTheme="minorHAnsi" w:ascii="Century" w:hAnsi="Century"/>
                                      <w:color w:val="002060"/>
                                      <w:sz w:val="22"/>
                                      <w:szCs w:val="22"/>
                                    </w:rPr>
                                    <w:t>Foram interpostas quatro providências cautelares junto do Tribunal Administrativo e Fiscal de Almada, apresentada uma denúncia à Capitania do Porto de Setúbal por intervenção não autorizada no espaço maritimo nacional, uma denúncia ao Ministério Público por denegação de justiça, duas queixas na Comissão de Acesso a Documentos Administrativos por negação do direito à consulta da documentação do processo em sede APA, e colocadas duas queixas ao cuidado da Inspecção Geral da Agricultura, do Mar, do Ambiente e do Ordenamento do Território.</w:t>
                                  </w:r>
                                </w:p>
                              </w:tc>
                            </w:tr>
                          </w:tbl>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rPr>
                                <w:rFonts w:ascii="EC Square Sans Pro" w:hAnsi="EC Square Sans Pro"/>
                                <w:sz w:val="20"/>
                              </w:rPr>
                            </w:pPr>
                            <w:r>
                              <w:rPr>
                                <w:rFonts w:ascii="EC Square Sans Pro" w:hAnsi="EC Square Sans Pro"/>
                                <w:color w:val="0070C0"/>
                              </w:rPr>
                              <w:t xml:space="preserve">3.2 </w:t>
                            </w:r>
                            <w:r>
                              <w:rPr>
                                <w:rFonts w:ascii="EC Square Sans Pro" w:hAnsi="EC Square Sans Pro"/>
                                <w:color w:val="002060"/>
                              </w:rPr>
                              <w:t>A sua denúncia foi resolvida pelo organismo/autoridade/tribunal ou ainda está pendente? Se estiver pendente, para quando está prevista uma decisão?</w:t>
                            </w:r>
                          </w:p>
                          <w:p>
                            <w:pPr>
                              <w:pStyle w:val="Contedodamoldura"/>
                              <w:jc w:val="center"/>
                              <w:rPr>
                                <w:rFonts w:ascii="EC Square Sans Cond Pro" w:hAnsi="EC Square Sans Cond Pro"/>
                                <w:sz w:val="20"/>
                              </w:rPr>
                            </w:pPr>
                            <w:r>
                              <w:rPr>
                                <w:rFonts w:ascii="EC Square Sans Cond Pro" w:hAnsi="EC Square Sans Cond Pro"/>
                                <w:sz w:val="20"/>
                              </w:rPr>
                            </w:r>
                          </w:p>
                          <w:tbl>
                            <w:tblPr>
                              <w:tblStyle w:val="TableGrid"/>
                              <w:tblW w:w="9781" w:type="dxa"/>
                              <w:jc w:val="left"/>
                              <w:tblInd w:w="108" w:type="dxa"/>
                              <w:tblCellMar>
                                <w:top w:w="0" w:type="dxa"/>
                                <w:left w:w="108" w:type="dxa"/>
                                <w:bottom w:w="0" w:type="dxa"/>
                                <w:right w:w="108" w:type="dxa"/>
                              </w:tblCellMar>
                              <w:tblLook w:val="04a0"/>
                            </w:tblPr>
                            <w:tblGrid>
                              <w:gridCol w:w="9781"/>
                            </w:tblGrid>
                            <w:tr>
                              <w:trPr>
                                <w:trHeight w:val="1756" w:hRule="atLeast"/>
                              </w:trPr>
                              <w:tc>
                                <w:tcPr>
                                  <w:tcW w:w="9781" w:type="dxa"/>
                                  <w:tcBorders/>
                                  <w:shd w:color="auto" w:fill="FFFFFF" w:themeFill="background1" w:val="clear"/>
                                </w:tcPr>
                                <w:p>
                                  <w:pPr>
                                    <w:pStyle w:val="Contedodamoldura"/>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Algumas das iniciativas já tiveram resolução, outras não. Nomeadamente, uma das providências cautelares interpostas está ainda em fase de apreciação pelo tribunal, não havendo previsão de decisão definitiva.</w:t>
                                  </w:r>
                                </w:p>
                                <w:p>
                                  <w:pPr>
                                    <w:pStyle w:val="Contedodamoldura"/>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As providências cautelares anteriores foram indeferidas pelo tribunal – em dois casos porque ,tratando-se de acções populares, não dispuseram de representatividade válida no entender deste, e num terceiro caso por ocorrência de litispendência. As restantes queixas não produziram até agora quaisquer resoluções definitivas.</w:t>
                                  </w:r>
                                </w:p>
                              </w:tc>
                            </w:tr>
                          </w:tbl>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both"/>
                              <w:rPr/>
                            </w:pPr>
                            <w:r>
                              <w:rPr/>
                            </w:r>
                          </w:p>
                        </w:txbxContent>
                      </wps:txbx>
                      <wps:bodyPr>
                        <a:noAutofit/>
                      </wps:bodyPr>
                    </wps:wsp>
                  </a:graphicData>
                </a:graphic>
              </wp:anchor>
            </w:drawing>
          </mc:Choice>
          <mc:Fallback>
            <w:pict>
              <v:rect id="shape_0" ID="Moldura1" fillcolor="#d8d8d8" stroked="t" style="position:absolute;margin-left:0.05pt;margin-top:6.45pt;width:503.4pt;height:255.75pt">
                <w10:wrap type="square"/>
                <v:fill o:detectmouseclick="t" type="solid" color2="#272727"/>
                <v:stroke color="#243f60" weight="19080" joinstyle="round" endcap="flat"/>
                <v:textbox>
                  <w:txbxContent>
                    <w:p>
                      <w:pPr>
                        <w:pStyle w:val="Contedodamoldura"/>
                        <w:widowControl/>
                        <w:jc w:val="both"/>
                        <w:rPr/>
                      </w:pPr>
                      <w:r>
                        <w:rPr>
                          <w:rFonts w:ascii="EC Square Sans Pro" w:hAnsi="EC Square Sans Pro"/>
                          <w:b/>
                          <w:color w:val="002060"/>
                        </w:rPr>
                        <w:t>SE SIM</w:t>
                      </w:r>
                      <w:r>
                        <w:rPr>
                          <w:rFonts w:ascii="EC Square Sans Pro" w:hAnsi="EC Square Sans Pro"/>
                          <w:color w:val="002060"/>
                          <w:sz w:val="22"/>
                        </w:rPr>
                        <w:t xml:space="preserve">, tratou-se de uma diligência: </w:t>
                      </w:r>
                      <w:r>
                        <w:rPr>
                          <w:rFonts w:ascii="EC Square Sans Pro" w:hAnsi="EC Square Sans Pro"/>
                          <w:color w:val="auto"/>
                        </w:rPr>
                        <w:t xml:space="preserve"> </w:t>
                      </w:r>
                      <w:r>
                        <w:rPr>
                          <w:rFonts w:eastAsia="Wingdings" w:cs="Wingdings" w:ascii="Wingdings" w:hAnsi="Wingdings"/>
                          <w:color w:val="002060"/>
                          <w:sz w:val="22"/>
                          <w:szCs w:val="22"/>
                        </w:rPr>
                        <w:t>X</w:t>
                      </w:r>
                      <w:r>
                        <w:rPr>
                          <w:rFonts w:ascii="EC Square Sans Pro" w:hAnsi="EC Square Sans Pro"/>
                          <w:color w:val="002060"/>
                          <w:sz w:val="22"/>
                        </w:rPr>
                        <w:t xml:space="preserve"> administrativa       </w:t>
                      </w:r>
                      <w:r>
                        <w:rPr>
                          <w:rFonts w:eastAsia="Wingdings" w:cs="Wingdings" w:ascii="Wingdings" w:hAnsi="Wingdings"/>
                          <w:color w:val="002060"/>
                          <w:sz w:val="22"/>
                          <w:szCs w:val="22"/>
                        </w:rPr>
                        <w:t>X</w:t>
                      </w:r>
                      <w:r>
                        <w:rPr>
                          <w:rFonts w:ascii="EC Square Sans Pro" w:hAnsi="EC Square Sans Pro"/>
                          <w:color w:val="002060"/>
                          <w:sz w:val="22"/>
                        </w:rPr>
                        <w:t xml:space="preserve"> legal</w:t>
                      </w:r>
                    </w:p>
                    <w:p>
                      <w:pPr>
                        <w:pStyle w:val="Contedodamoldura"/>
                        <w:jc w:val="center"/>
                        <w:rPr>
                          <w:rFonts w:ascii="EC Square Sans Pro" w:hAnsi="EC Square Sans Pro"/>
                          <w:sz w:val="20"/>
                        </w:rPr>
                      </w:pPr>
                      <w:r>
                        <w:rPr>
                          <w:rFonts w:ascii="EC Square Sans Pro" w:hAnsi="EC Square Sans Pro"/>
                          <w:sz w:val="20"/>
                        </w:rPr>
                      </w:r>
                    </w:p>
                    <w:p>
                      <w:pPr>
                        <w:pStyle w:val="Contedodamoldura"/>
                        <w:rPr>
                          <w:rFonts w:ascii="EC Square Sans Pro" w:hAnsi="EC Square Sans Pro"/>
                          <w:sz w:val="20"/>
                        </w:rPr>
                      </w:pPr>
                      <w:r>
                        <w:rPr>
                          <w:rFonts w:ascii="EC Square Sans Pro" w:hAnsi="EC Square Sans Pro"/>
                          <w:color w:val="0070C0"/>
                        </w:rPr>
                        <w:t>3.1</w:t>
                      </w:r>
                      <w:r>
                        <w:rPr>
                          <w:rFonts w:ascii="EC Square Sans Pro" w:hAnsi="EC Square Sans Pro"/>
                          <w:color w:val="002060"/>
                        </w:rPr>
                        <w:t xml:space="preserve"> Descreva: a) o organismo/autoridade/tribunal envolvido e o tipo de decisão a que chegou; b) qualquer outra diligência de que tenha conhecimento.</w:t>
                      </w:r>
                    </w:p>
                    <w:tbl>
                      <w:tblPr>
                        <w:tblStyle w:val="TableGrid"/>
                        <w:tblW w:w="9747" w:type="dxa"/>
                        <w:jc w:val="left"/>
                        <w:tblInd w:w="108" w:type="dxa"/>
                        <w:tblCellMar>
                          <w:top w:w="0" w:type="dxa"/>
                          <w:left w:w="108" w:type="dxa"/>
                          <w:bottom w:w="0" w:type="dxa"/>
                          <w:right w:w="108" w:type="dxa"/>
                        </w:tblCellMar>
                        <w:tblLook w:val="04a0"/>
                      </w:tblPr>
                      <w:tblGrid>
                        <w:gridCol w:w="9747"/>
                      </w:tblGrid>
                      <w:tr>
                        <w:trPr>
                          <w:trHeight w:val="921" w:hRule="atLeast"/>
                        </w:trPr>
                        <w:tc>
                          <w:tcPr>
                            <w:tcW w:w="9747" w:type="dxa"/>
                            <w:tcBorders/>
                            <w:shd w:color="auto" w:fill="FFFFFF" w:themeFill="background1" w:val="clear"/>
                          </w:tcPr>
                          <w:p>
                            <w:pPr>
                              <w:pStyle w:val="Contedodamoldura"/>
                              <w:widowControl/>
                              <w:jc w:val="both"/>
                              <w:rPr>
                                <w:rFonts w:ascii="Calibri" w:hAnsi="Calibri" w:eastAsia="Calibri" w:cs="" w:asciiTheme="minorHAnsi" w:cstheme="minorBidi" w:eastAsiaTheme="minorHAnsi" w:hAnsiTheme="minorHAnsi"/>
                                <w:szCs w:val="22"/>
                              </w:rPr>
                            </w:pPr>
                            <w:r>
                              <w:rPr>
                                <w:rFonts w:eastAsia="Calibri" w:cs="" w:cstheme="minorBidi" w:eastAsiaTheme="minorHAnsi" w:ascii="Century" w:hAnsi="Century"/>
                                <w:color w:val="002060"/>
                                <w:sz w:val="22"/>
                                <w:szCs w:val="22"/>
                              </w:rPr>
                              <w:t>Foram interpostas quatro providências cautelares junto do Tribunal Administrativo e Fiscal de Almada, apresentada uma denúncia à Capitania do Porto de Setúbal por intervenção não autorizada no espaço maritimo nacional, uma denúncia ao Ministério Público por denegação de justiça, duas queixas na Comissão de Acesso a Documentos Administrativos por negação do direito à consulta da documentação do processo em sede APA, e colocadas duas queixas ao cuidado da Inspecção Geral da Agricultura, do Mar, do Ambiente e do Ordenamento do Território.</w:t>
                            </w:r>
                          </w:p>
                        </w:tc>
                      </w:tr>
                    </w:tbl>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rPr>
                          <w:rFonts w:ascii="EC Square Sans Pro" w:hAnsi="EC Square Sans Pro"/>
                          <w:sz w:val="20"/>
                        </w:rPr>
                      </w:pPr>
                      <w:r>
                        <w:rPr>
                          <w:rFonts w:ascii="EC Square Sans Pro" w:hAnsi="EC Square Sans Pro"/>
                          <w:color w:val="0070C0"/>
                        </w:rPr>
                        <w:t xml:space="preserve">3.2 </w:t>
                      </w:r>
                      <w:r>
                        <w:rPr>
                          <w:rFonts w:ascii="EC Square Sans Pro" w:hAnsi="EC Square Sans Pro"/>
                          <w:color w:val="002060"/>
                        </w:rPr>
                        <w:t>A sua denúncia foi resolvida pelo organismo/autoridade/tribunal ou ainda está pendente? Se estiver pendente, para quando está prevista uma decisão?</w:t>
                      </w:r>
                    </w:p>
                    <w:p>
                      <w:pPr>
                        <w:pStyle w:val="Contedodamoldura"/>
                        <w:jc w:val="center"/>
                        <w:rPr>
                          <w:rFonts w:ascii="EC Square Sans Cond Pro" w:hAnsi="EC Square Sans Cond Pro"/>
                          <w:sz w:val="20"/>
                        </w:rPr>
                      </w:pPr>
                      <w:r>
                        <w:rPr>
                          <w:rFonts w:ascii="EC Square Sans Cond Pro" w:hAnsi="EC Square Sans Cond Pro"/>
                          <w:sz w:val="20"/>
                        </w:rPr>
                      </w:r>
                    </w:p>
                    <w:tbl>
                      <w:tblPr>
                        <w:tblStyle w:val="TableGrid"/>
                        <w:tblW w:w="9781" w:type="dxa"/>
                        <w:jc w:val="left"/>
                        <w:tblInd w:w="108" w:type="dxa"/>
                        <w:tblCellMar>
                          <w:top w:w="0" w:type="dxa"/>
                          <w:left w:w="108" w:type="dxa"/>
                          <w:bottom w:w="0" w:type="dxa"/>
                          <w:right w:w="108" w:type="dxa"/>
                        </w:tblCellMar>
                        <w:tblLook w:val="04a0"/>
                      </w:tblPr>
                      <w:tblGrid>
                        <w:gridCol w:w="9781"/>
                      </w:tblGrid>
                      <w:tr>
                        <w:trPr>
                          <w:trHeight w:val="1756" w:hRule="atLeast"/>
                        </w:trPr>
                        <w:tc>
                          <w:tcPr>
                            <w:tcW w:w="9781" w:type="dxa"/>
                            <w:tcBorders/>
                            <w:shd w:color="auto" w:fill="FFFFFF" w:themeFill="background1" w:val="clear"/>
                          </w:tcPr>
                          <w:p>
                            <w:pPr>
                              <w:pStyle w:val="Contedodamoldura"/>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Algumas das iniciativas já tiveram resolução, outras não. Nomeadamente, uma das providências cautelares interpostas está ainda em fase de apreciação pelo tribunal, não havendo previsão de decisão definitiva.</w:t>
                            </w:r>
                          </w:p>
                          <w:p>
                            <w:pPr>
                              <w:pStyle w:val="Contedodamoldura"/>
                              <w:widowControl/>
                              <w:jc w:val="both"/>
                              <w:rPr>
                                <w:rFonts w:ascii="Century" w:hAnsi="Century" w:eastAsia="Calibri" w:cs=""/>
                                <w:color w:val="002060"/>
                                <w:sz w:val="22"/>
                                <w:szCs w:val="22"/>
                              </w:rPr>
                            </w:pPr>
                            <w:r>
                              <w:rPr>
                                <w:rFonts w:eastAsia="Calibri" w:cs="" w:cstheme="minorBidi" w:eastAsiaTheme="minorHAnsi" w:ascii="Century" w:hAnsi="Century"/>
                                <w:color w:val="002060"/>
                                <w:sz w:val="22"/>
                                <w:szCs w:val="22"/>
                              </w:rPr>
                              <w:t>As providências cautelares anteriores foram indeferidas pelo tribunal – em dois casos porque ,tratando-se de acções populares, não dispuseram de representatividade válida no entender deste, e num terceiro caso por ocorrência de litispendência. As restantes queixas não produziram até agora quaisquer resoluções definitivas.</w:t>
                            </w:r>
                          </w:p>
                        </w:tc>
                      </w:tr>
                    </w:tbl>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both"/>
                        <w:rPr/>
                      </w:pPr>
                      <w:r>
                        <w:rPr/>
                      </w:r>
                    </w:p>
                  </w:txbxContent>
                </v:textbox>
              </v:rect>
            </w:pict>
          </mc:Fallback>
        </mc:AlternateContent>
      </w:r>
      <w:bookmarkStart w:id="1" w:name="_GoBack"/>
      <w:bookmarkStart w:id="2" w:name="_GoBack"/>
      <w:bookmarkEnd w:id="2"/>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ind w:right="-24" w:hanging="360"/>
        <w:jc w:val="both"/>
        <w:rPr>
          <w:rFonts w:ascii="EC Square Sans Cond Pro" w:hAnsi="EC Square Sans Cond Pro"/>
          <w:color w:val="002060"/>
          <w:szCs w:val="22"/>
        </w:rPr>
      </w:pPr>
      <w:r>
        <w:rPr>
          <w:rFonts w:ascii="EC Square Sans Cond Pro" w:hAnsi="EC Square Sans Cond Pro"/>
          <w:color w:val="002060"/>
          <w:szCs w:val="22"/>
        </w:rPr>
      </w:r>
    </w:p>
    <w:p>
      <w:pPr>
        <w:pStyle w:val="Normal"/>
        <w:widowControl/>
        <w:spacing w:before="120" w:after="200"/>
        <w:ind w:right="-23" w:hanging="360"/>
        <w:jc w:val="both"/>
        <w:rPr>
          <w:rFonts w:ascii="Century" w:hAnsi="Century"/>
          <w:color w:val="002060"/>
          <w:sz w:val="22"/>
          <w:szCs w:val="22"/>
        </w:rPr>
      </w:pPr>
      <w:r>
        <w:rPr>
          <w:rFonts w:ascii="Century" w:hAnsi="Century"/>
          <w:color w:val="002060"/>
          <w:sz w:val="22"/>
          <w:szCs w:val="22"/>
        </w:rPr>
        <mc:AlternateContent>
          <mc:Choice Requires="wps">
            <w:drawing>
              <wp:anchor behindDoc="0" distT="0" distB="0" distL="0" distR="0" simplePos="0" locked="0" layoutInCell="1" allowOverlap="1" relativeHeight="3">
                <wp:simplePos x="0" y="0"/>
                <wp:positionH relativeFrom="column">
                  <wp:posOffset>41275</wp:posOffset>
                </wp:positionH>
                <wp:positionV relativeFrom="paragraph">
                  <wp:posOffset>104140</wp:posOffset>
                </wp:positionV>
                <wp:extent cx="6394450" cy="3630295"/>
                <wp:effectExtent l="0" t="0" r="0" b="0"/>
                <wp:wrapNone/>
                <wp:docPr id="4" name="Image1"/>
                <a:graphic xmlns:a="http://schemas.openxmlformats.org/drawingml/2006/main">
                  <a:graphicData uri="http://schemas.microsoft.com/office/word/2010/wordprocessingShape">
                    <wps:wsp>
                      <wps:cNvSpPr/>
                      <wps:spPr>
                        <a:xfrm>
                          <a:off x="0" y="0"/>
                          <a:ext cx="6393960" cy="3629520"/>
                        </a:xfrm>
                        <a:prstGeom prst="rect">
                          <a:avLst/>
                        </a:prstGeom>
                        <a:solidFill>
                          <a:srgbClr val="d8d8d8"/>
                        </a:solidFill>
                        <a:ln w="19080">
                          <a:solidFill>
                            <a:srgbClr val="243f60"/>
                          </a:solidFill>
                          <a:round/>
                        </a:ln>
                      </wps:spPr>
                      <wps:style>
                        <a:lnRef idx="0"/>
                        <a:fillRef idx="0"/>
                        <a:effectRef idx="0"/>
                        <a:fontRef idx="minor"/>
                      </wps:style>
                      <wps:txbx>
                        <w:txbxContent>
                          <w:p>
                            <w:pPr>
                              <w:pStyle w:val="Contedodamoldura"/>
                              <w:widowControl/>
                              <w:spacing w:before="0" w:after="120"/>
                              <w:jc w:val="both"/>
                              <w:rPr>
                                <w:rFonts w:ascii="EC Square Sans Pro" w:hAnsi="EC Square Sans Pro"/>
                                <w:color w:val="002060"/>
                                <w:sz w:val="22"/>
                                <w:szCs w:val="22"/>
                              </w:rPr>
                            </w:pPr>
                            <w:r>
                              <w:rPr>
                                <w:rFonts w:ascii="EC Square Sans Pro" w:hAnsi="EC Square Sans Pro"/>
                                <w:b/>
                                <w:color w:val="002060"/>
                              </w:rPr>
                              <w:t>SE</w:t>
                            </w:r>
                            <w:r>
                              <w:rPr>
                                <w:rFonts w:ascii="EC Square Sans Pro" w:hAnsi="EC Square Sans Pro"/>
                                <w:color w:val="002060"/>
                              </w:rPr>
                              <w:t xml:space="preserve"> </w:t>
                            </w:r>
                            <w:r>
                              <w:rPr>
                                <w:rFonts w:ascii="EC Square Sans Pro" w:hAnsi="EC Square Sans Pro"/>
                                <w:b/>
                                <w:color w:val="002060"/>
                              </w:rPr>
                              <w:t>NÃO</w:t>
                            </w:r>
                            <w:r>
                              <w:rPr>
                                <w:rFonts w:ascii="EC Square Sans Pro" w:hAnsi="EC Square Sans Pro"/>
                                <w:color w:val="002060"/>
                                <w:sz w:val="22"/>
                              </w:rPr>
                              <w:t>, indique porquê:</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Está em curso um processo sobre a mesma questão num tribunal nacional ou da UE</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Não existe via de recurso para o problema</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Existe uma solução, mas é demasiado dispendiosa</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sz w:val="20"/>
                              </w:rPr>
                              <w:t xml:space="preserve"> </w:t>
                            </w:r>
                            <w:r>
                              <w:rPr>
                                <w:rFonts w:ascii="EC Square Sans Pro" w:hAnsi="EC Square Sans Pro"/>
                                <w:color w:val="002060"/>
                              </w:rPr>
                              <w:t>O prazo para instaurar a ação expirou</w:t>
                            </w:r>
                          </w:p>
                          <w:p>
                            <w:pPr>
                              <w:pStyle w:val="Contedodamoldura"/>
                              <w:spacing w:before="0" w:after="120"/>
                              <w:rPr>
                                <w:rFonts w:ascii="EC Square Sans Pro" w:hAnsi="EC Square Sans Pro"/>
                                <w:sz w:val="2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Não tem direito a uma ação judicial (não pode levar o caso a tribunal). Especifique:</w:t>
                            </w:r>
                          </w:p>
                          <w:tbl>
                            <w:tblPr>
                              <w:tblStyle w:val="TableGrid"/>
                              <w:tblW w:w="9747" w:type="dxa"/>
                              <w:jc w:val="left"/>
                              <w:tblInd w:w="108" w:type="dxa"/>
                              <w:tblCellMar>
                                <w:top w:w="0" w:type="dxa"/>
                                <w:left w:w="108" w:type="dxa"/>
                                <w:bottom w:w="0" w:type="dxa"/>
                                <w:right w:w="108" w:type="dxa"/>
                              </w:tblCellMar>
                              <w:tblLook w:val="04a0"/>
                            </w:tblPr>
                            <w:tblGrid>
                              <w:gridCol w:w="9747"/>
                            </w:tblGrid>
                            <w:tr>
                              <w:trPr>
                                <w:trHeight w:val="903" w:hRule="atLeast"/>
                              </w:trPr>
                              <w:tc>
                                <w:tcPr>
                                  <w:tcW w:w="9747" w:type="dxa"/>
                                  <w:tcBorders/>
                                  <w:shd w:color="auto" w:fill="FFFFFF" w:themeFill="background1" w:val="clear"/>
                                </w:tcPr>
                                <w:p>
                                  <w:pPr>
                                    <w:pStyle w:val="Contedodamoldura"/>
                                    <w:widowControl/>
                                    <w:jc w:val="both"/>
                                    <w:rPr>
                                      <w:rFonts w:ascii="Century" w:hAnsi="Century" w:eastAsia="Calibri" w:cs=""/>
                                      <w:color w:val="002060"/>
                                      <w:sz w:val="22"/>
                                      <w:szCs w:val="22"/>
                                    </w:rPr>
                                  </w:pPr>
                                  <w:r>
                                    <w:rPr>
                                      <w:rFonts w:eastAsia="Calibri" w:cs="" w:ascii="Century" w:hAnsi="Century"/>
                                      <w:color w:val="002060"/>
                                      <w:sz w:val="22"/>
                                      <w:szCs w:val="22"/>
                                    </w:rPr>
                                  </w:r>
                                </w:p>
                              </w:tc>
                            </w:tr>
                          </w:tbl>
                          <w:p>
                            <w:pPr>
                              <w:pStyle w:val="Contedodamoldura"/>
                              <w:widowControl/>
                              <w:jc w:val="both"/>
                              <w:rPr>
                                <w:rFonts w:ascii="EC Square Sans Pro" w:hAnsi="EC Square Sans Pro"/>
                                <w:color w:val="002060"/>
                                <w:szCs w:val="22"/>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Falta de assistência jurídica/advogado</w:t>
                            </w:r>
                          </w:p>
                          <w:p>
                            <w:pPr>
                              <w:pStyle w:val="Contedodamoldura"/>
                              <w:widowControl/>
                              <w:jc w:val="both"/>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Desconheço as vias de recurso disponíveis para resolver o problema</w:t>
                            </w:r>
                          </w:p>
                          <w:p>
                            <w:pPr>
                              <w:pStyle w:val="Contedodamoldura"/>
                              <w:spacing w:before="0" w:after="12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Outro, especifique</w:t>
                            </w:r>
                          </w:p>
                          <w:tbl>
                            <w:tblPr>
                              <w:tblStyle w:val="TableGrid"/>
                              <w:tblW w:w="9781" w:type="dxa"/>
                              <w:jc w:val="left"/>
                              <w:tblInd w:w="108" w:type="dxa"/>
                              <w:tblCellMar>
                                <w:top w:w="0" w:type="dxa"/>
                                <w:left w:w="108" w:type="dxa"/>
                                <w:bottom w:w="0" w:type="dxa"/>
                                <w:right w:w="108" w:type="dxa"/>
                              </w:tblCellMar>
                              <w:tblLook w:val="04a0"/>
                            </w:tblPr>
                            <w:tblGrid>
                              <w:gridCol w:w="9781"/>
                            </w:tblGrid>
                            <w:tr>
                              <w:trPr>
                                <w:trHeight w:val="1552" w:hRule="atLeast"/>
                              </w:trPr>
                              <w:tc>
                                <w:tcPr>
                                  <w:tcW w:w="9781" w:type="dxa"/>
                                  <w:tcBorders/>
                                  <w:shd w:color="auto" w:fill="FFFFFF" w:themeFill="background1" w:val="clear"/>
                                </w:tcPr>
                                <w:p>
                                  <w:pPr>
                                    <w:pStyle w:val="Contedodamoldura"/>
                                    <w:widowControl/>
                                    <w:jc w:val="both"/>
                                    <w:rPr>
                                      <w:rFonts w:ascii="Century" w:hAnsi="Century" w:eastAsia="Calibri" w:cs=""/>
                                      <w:color w:val="002060"/>
                                      <w:sz w:val="22"/>
                                      <w:szCs w:val="22"/>
                                    </w:rPr>
                                  </w:pPr>
                                  <w:r>
                                    <w:rPr>
                                      <w:rFonts w:eastAsia="Calibri" w:cs="" w:ascii="Century" w:hAnsi="Century"/>
                                      <w:color w:val="002060"/>
                                      <w:sz w:val="22"/>
                                      <w:szCs w:val="22"/>
                                    </w:rPr>
                                  </w:r>
                                </w:p>
                              </w:tc>
                            </w:tr>
                          </w:tbl>
                          <w:p>
                            <w:pPr>
                              <w:pStyle w:val="Contedodamoldura"/>
                              <w:jc w:val="center"/>
                              <w:rPr>
                                <w:rFonts w:ascii="EC Square Sans Cond Pro" w:hAnsi="EC Square Sans Cond Pro"/>
                                <w:sz w:val="20"/>
                              </w:rPr>
                            </w:pPr>
                            <w:r>
                              <w:rPr>
                                <w:rFonts w:ascii="EC Square Sans Cond Pro" w:hAnsi="EC Square Sans Cond Pro"/>
                                <w:sz w:val="20"/>
                              </w:rPr>
                              <w:t>\</w:t>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both"/>
                              <w:rPr/>
                            </w:pPr>
                            <w:r>
                              <w:rPr/>
                            </w:r>
                          </w:p>
                        </w:txbxContent>
                      </wps:txbx>
                      <wps:bodyPr>
                        <a:noAutofit/>
                      </wps:bodyPr>
                    </wps:wsp>
                  </a:graphicData>
                </a:graphic>
              </wp:anchor>
            </w:drawing>
          </mc:Choice>
          <mc:Fallback>
            <w:pict>
              <v:rect id="shape_0" ID="Image1" fillcolor="#d8d8d8" stroked="t" style="position:absolute;margin-left:3.25pt;margin-top:8.2pt;width:503.4pt;height:285.75pt">
                <w10:wrap type="square"/>
                <v:fill o:detectmouseclick="t" type="solid" color2="#272727"/>
                <v:stroke color="#243f60" weight="19080" joinstyle="round" endcap="flat"/>
                <v:textbox>
                  <w:txbxContent>
                    <w:p>
                      <w:pPr>
                        <w:pStyle w:val="Contedodamoldura"/>
                        <w:widowControl/>
                        <w:spacing w:before="0" w:after="120"/>
                        <w:jc w:val="both"/>
                        <w:rPr>
                          <w:rFonts w:ascii="EC Square Sans Pro" w:hAnsi="EC Square Sans Pro"/>
                          <w:color w:val="002060"/>
                          <w:sz w:val="22"/>
                          <w:szCs w:val="22"/>
                        </w:rPr>
                      </w:pPr>
                      <w:r>
                        <w:rPr>
                          <w:rFonts w:ascii="EC Square Sans Pro" w:hAnsi="EC Square Sans Pro"/>
                          <w:b/>
                          <w:color w:val="002060"/>
                        </w:rPr>
                        <w:t>SE</w:t>
                      </w:r>
                      <w:r>
                        <w:rPr>
                          <w:rFonts w:ascii="EC Square Sans Pro" w:hAnsi="EC Square Sans Pro"/>
                          <w:color w:val="002060"/>
                        </w:rPr>
                        <w:t xml:space="preserve"> </w:t>
                      </w:r>
                      <w:r>
                        <w:rPr>
                          <w:rFonts w:ascii="EC Square Sans Pro" w:hAnsi="EC Square Sans Pro"/>
                          <w:b/>
                          <w:color w:val="002060"/>
                        </w:rPr>
                        <w:t>NÃO</w:t>
                      </w:r>
                      <w:r>
                        <w:rPr>
                          <w:rFonts w:ascii="EC Square Sans Pro" w:hAnsi="EC Square Sans Pro"/>
                          <w:color w:val="002060"/>
                          <w:sz w:val="22"/>
                        </w:rPr>
                        <w:t>, indique porquê:</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Está em curso um processo sobre a mesma questão num tribunal nacional ou da UE</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Não existe via de recurso para o problema</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Existe uma solução, mas é demasiado dispendiosa</w:t>
                      </w:r>
                    </w:p>
                    <w:p>
                      <w:pPr>
                        <w:pStyle w:val="Contedodamoldura"/>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sz w:val="20"/>
                        </w:rPr>
                        <w:t xml:space="preserve"> </w:t>
                      </w:r>
                      <w:r>
                        <w:rPr>
                          <w:rFonts w:ascii="EC Square Sans Pro" w:hAnsi="EC Square Sans Pro"/>
                          <w:color w:val="002060"/>
                        </w:rPr>
                        <w:t>O prazo para instaurar a ação expirou</w:t>
                      </w:r>
                    </w:p>
                    <w:p>
                      <w:pPr>
                        <w:pStyle w:val="Contedodamoldura"/>
                        <w:spacing w:before="0" w:after="120"/>
                        <w:rPr>
                          <w:rFonts w:ascii="EC Square Sans Pro" w:hAnsi="EC Square Sans Pro"/>
                          <w:sz w:val="2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Não tem direito a uma ação judicial (não pode levar o caso a tribunal). Especifique:</w:t>
                      </w:r>
                    </w:p>
                    <w:tbl>
                      <w:tblPr>
                        <w:tblStyle w:val="TableGrid"/>
                        <w:tblW w:w="9747" w:type="dxa"/>
                        <w:jc w:val="left"/>
                        <w:tblInd w:w="108" w:type="dxa"/>
                        <w:tblCellMar>
                          <w:top w:w="0" w:type="dxa"/>
                          <w:left w:w="108" w:type="dxa"/>
                          <w:bottom w:w="0" w:type="dxa"/>
                          <w:right w:w="108" w:type="dxa"/>
                        </w:tblCellMar>
                        <w:tblLook w:val="04a0"/>
                      </w:tblPr>
                      <w:tblGrid>
                        <w:gridCol w:w="9747"/>
                      </w:tblGrid>
                      <w:tr>
                        <w:trPr>
                          <w:trHeight w:val="903" w:hRule="atLeast"/>
                        </w:trPr>
                        <w:tc>
                          <w:tcPr>
                            <w:tcW w:w="9747" w:type="dxa"/>
                            <w:tcBorders/>
                            <w:shd w:color="auto" w:fill="FFFFFF" w:themeFill="background1" w:val="clear"/>
                          </w:tcPr>
                          <w:p>
                            <w:pPr>
                              <w:pStyle w:val="Contedodamoldura"/>
                              <w:widowControl/>
                              <w:jc w:val="both"/>
                              <w:rPr>
                                <w:rFonts w:ascii="Century" w:hAnsi="Century" w:eastAsia="Calibri" w:cs=""/>
                                <w:color w:val="002060"/>
                                <w:sz w:val="22"/>
                                <w:szCs w:val="22"/>
                              </w:rPr>
                            </w:pPr>
                            <w:r>
                              <w:rPr>
                                <w:rFonts w:eastAsia="Calibri" w:cs="" w:ascii="Century" w:hAnsi="Century"/>
                                <w:color w:val="002060"/>
                                <w:sz w:val="22"/>
                                <w:szCs w:val="22"/>
                              </w:rPr>
                            </w:r>
                          </w:p>
                        </w:tc>
                      </w:tr>
                    </w:tbl>
                    <w:p>
                      <w:pPr>
                        <w:pStyle w:val="Contedodamoldura"/>
                        <w:widowControl/>
                        <w:jc w:val="both"/>
                        <w:rPr>
                          <w:rFonts w:ascii="EC Square Sans Pro" w:hAnsi="EC Square Sans Pro"/>
                          <w:color w:val="002060"/>
                          <w:szCs w:val="22"/>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Falta de assistência jurídica/advogado</w:t>
                      </w:r>
                    </w:p>
                    <w:p>
                      <w:pPr>
                        <w:pStyle w:val="Contedodamoldura"/>
                        <w:widowControl/>
                        <w:jc w:val="both"/>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Desconheço as vias de recurso disponíveis para resolver o problema</w:t>
                      </w:r>
                    </w:p>
                    <w:p>
                      <w:pPr>
                        <w:pStyle w:val="Contedodamoldura"/>
                        <w:spacing w:before="0" w:after="120"/>
                        <w:rPr/>
                      </w:pPr>
                      <w:r>
                        <w:rPr>
                          <w:rFonts w:eastAsia="Wingdings" w:cs="Wingdings" w:ascii="Wingdings" w:hAnsi="Wingdings"/>
                          <w:color w:val="002060"/>
                          <w:sz w:val="22"/>
                          <w:szCs w:val="22"/>
                        </w:rPr>
                        <w:t></w:t>
                      </w:r>
                      <w:r>
                        <w:rPr>
                          <w:rFonts w:ascii="EC Square Sans Pro" w:hAnsi="EC Square Sans Pro"/>
                          <w:color w:val="002060"/>
                          <w:sz w:val="22"/>
                          <w:szCs w:val="22"/>
                        </w:rPr>
                        <w:t xml:space="preserve"> </w:t>
                      </w:r>
                      <w:r>
                        <w:rPr>
                          <w:rFonts w:ascii="EC Square Sans Pro" w:hAnsi="EC Square Sans Pro"/>
                          <w:color w:val="002060"/>
                        </w:rPr>
                        <w:t>Outro, especifique</w:t>
                      </w:r>
                    </w:p>
                    <w:tbl>
                      <w:tblPr>
                        <w:tblStyle w:val="TableGrid"/>
                        <w:tblW w:w="9781" w:type="dxa"/>
                        <w:jc w:val="left"/>
                        <w:tblInd w:w="108" w:type="dxa"/>
                        <w:tblCellMar>
                          <w:top w:w="0" w:type="dxa"/>
                          <w:left w:w="108" w:type="dxa"/>
                          <w:bottom w:w="0" w:type="dxa"/>
                          <w:right w:w="108" w:type="dxa"/>
                        </w:tblCellMar>
                        <w:tblLook w:val="04a0"/>
                      </w:tblPr>
                      <w:tblGrid>
                        <w:gridCol w:w="9781"/>
                      </w:tblGrid>
                      <w:tr>
                        <w:trPr>
                          <w:trHeight w:val="1552" w:hRule="atLeast"/>
                        </w:trPr>
                        <w:tc>
                          <w:tcPr>
                            <w:tcW w:w="9781" w:type="dxa"/>
                            <w:tcBorders/>
                            <w:shd w:color="auto" w:fill="FFFFFF" w:themeFill="background1" w:val="clear"/>
                          </w:tcPr>
                          <w:p>
                            <w:pPr>
                              <w:pStyle w:val="Contedodamoldura"/>
                              <w:widowControl/>
                              <w:jc w:val="both"/>
                              <w:rPr>
                                <w:rFonts w:ascii="Century" w:hAnsi="Century" w:eastAsia="Calibri" w:cs=""/>
                                <w:color w:val="002060"/>
                                <w:sz w:val="22"/>
                                <w:szCs w:val="22"/>
                              </w:rPr>
                            </w:pPr>
                            <w:r>
                              <w:rPr>
                                <w:rFonts w:eastAsia="Calibri" w:cs="" w:ascii="Century" w:hAnsi="Century"/>
                                <w:color w:val="002060"/>
                                <w:sz w:val="22"/>
                                <w:szCs w:val="22"/>
                              </w:rPr>
                            </w:r>
                          </w:p>
                        </w:tc>
                      </w:tr>
                    </w:tbl>
                    <w:p>
                      <w:pPr>
                        <w:pStyle w:val="Contedodamoldura"/>
                        <w:jc w:val="center"/>
                        <w:rPr>
                          <w:rFonts w:ascii="EC Square Sans Cond Pro" w:hAnsi="EC Square Sans Cond Pro"/>
                          <w:sz w:val="20"/>
                        </w:rPr>
                      </w:pPr>
                      <w:r>
                        <w:rPr>
                          <w:rFonts w:ascii="EC Square Sans Cond Pro" w:hAnsi="EC Square Sans Cond Pro"/>
                          <w:sz w:val="20"/>
                        </w:rPr>
                        <w:t>\</w:t>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center"/>
                        <w:rPr>
                          <w:rFonts w:ascii="EC Square Sans Cond Pro" w:hAnsi="EC Square Sans Cond Pro"/>
                          <w:sz w:val="20"/>
                        </w:rPr>
                      </w:pPr>
                      <w:r>
                        <w:rPr>
                          <w:rFonts w:ascii="EC Square Sans Cond Pro" w:hAnsi="EC Square Sans Cond Pro"/>
                          <w:sz w:val="20"/>
                        </w:rPr>
                      </w:r>
                    </w:p>
                    <w:p>
                      <w:pPr>
                        <w:pStyle w:val="Contedodamoldura"/>
                        <w:jc w:val="both"/>
                        <w:rPr/>
                      </w:pPr>
                      <w:r>
                        <w:rPr/>
                      </w:r>
                    </w:p>
                  </w:txbxContent>
                </v:textbox>
              </v:rect>
            </w:pict>
          </mc:Fallback>
        </mc:AlternateContent>
      </w:r>
    </w:p>
    <w:p>
      <w:pPr>
        <w:pStyle w:val="Normal"/>
        <w:widowControl/>
        <w:jc w:val="both"/>
        <w:rPr>
          <w:rFonts w:ascii="Century" w:hAnsi="Century"/>
          <w:b/>
          <w:b/>
          <w:color w:val="002060"/>
          <w:sz w:val="20"/>
          <w:szCs w:val="22"/>
        </w:rPr>
      </w:pPr>
      <w:r>
        <w:rPr>
          <w:rFonts w:ascii="Century" w:hAnsi="Century"/>
          <w:b/>
          <w:color w:val="002060"/>
          <w:sz w:val="20"/>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Century" w:hAnsi="Century"/>
          <w:b/>
          <w:b/>
          <w:color w:val="002060"/>
          <w:sz w:val="22"/>
          <w:szCs w:val="22"/>
        </w:rPr>
      </w:pPr>
      <w:r>
        <w:rPr>
          <w:rFonts w:ascii="Century" w:hAnsi="Century"/>
          <w:b/>
          <w:color w:val="002060"/>
          <w:sz w:val="22"/>
          <w:szCs w:val="22"/>
        </w:rPr>
      </w:r>
    </w:p>
    <w:p>
      <w:pPr>
        <w:pStyle w:val="Normal"/>
        <w:widowControl/>
        <w:jc w:val="both"/>
        <w:rPr>
          <w:rFonts w:ascii="EC Square Sans Cond Pro" w:hAnsi="EC Square Sans Cond Pro"/>
          <w:color w:val="0070C0"/>
          <w:sz w:val="28"/>
          <w:szCs w:val="22"/>
        </w:rPr>
      </w:pPr>
      <w:r>
        <w:rPr>
          <w:rFonts w:ascii="EC Square Sans Cond Pro" w:hAnsi="EC Square Sans Cond Pro"/>
          <w:color w:val="0070C0"/>
          <w:sz w:val="28"/>
          <w:szCs w:val="22"/>
        </w:rPr>
      </w:r>
    </w:p>
    <w:p>
      <w:pPr>
        <w:pStyle w:val="Normal"/>
        <w:widowControl/>
        <w:jc w:val="both"/>
        <w:rPr>
          <w:rFonts w:ascii="EC Square Sans Cond Pro" w:hAnsi="EC Square Sans Cond Pro"/>
          <w:color w:val="0070C0"/>
          <w:sz w:val="28"/>
          <w:szCs w:val="22"/>
        </w:rPr>
      </w:pPr>
      <w:r>
        <w:rPr>
          <w:rFonts w:ascii="EC Square Sans Cond Pro" w:hAnsi="EC Square Sans Cond Pro"/>
          <w:color w:val="0070C0"/>
          <w:sz w:val="28"/>
          <w:szCs w:val="22"/>
        </w:rPr>
      </w:r>
    </w:p>
    <w:p>
      <w:pPr>
        <w:pStyle w:val="Normal"/>
        <w:widowControl/>
        <w:jc w:val="both"/>
        <w:rPr>
          <w:rFonts w:ascii="EC Square Sans Cond Pro" w:hAnsi="EC Square Sans Cond Pro"/>
          <w:color w:val="0070C0"/>
          <w:sz w:val="28"/>
          <w:szCs w:val="22"/>
        </w:rPr>
      </w:pPr>
      <w:r>
        <w:rPr>
          <w:rFonts w:ascii="EC Square Sans Cond Pro" w:hAnsi="EC Square Sans Cond Pro"/>
          <w:color w:val="0070C0"/>
          <w:sz w:val="28"/>
          <w:szCs w:val="22"/>
        </w:rPr>
      </w:r>
    </w:p>
    <w:p>
      <w:pPr>
        <w:pStyle w:val="Normal"/>
        <w:widowControl/>
        <w:spacing w:before="0" w:after="120"/>
        <w:jc w:val="both"/>
        <w:rPr>
          <w:rFonts w:ascii="EC Square Sans Pro" w:hAnsi="EC Square Sans Pro"/>
          <w:color w:val="0070C0"/>
          <w:sz w:val="28"/>
          <w:szCs w:val="22"/>
        </w:rPr>
      </w:pPr>
      <w:r>
        <w:rPr>
          <w:rFonts w:ascii="EC Square Sans Pro" w:hAnsi="EC Square Sans Pro"/>
          <w:color w:val="0070C0"/>
          <w:sz w:val="28"/>
        </w:rPr>
        <w:t>4. Se já contactou as instituições europeias ou outros serviços que tratam problemas deste tipo, indique a referência do seu dossiê/correspondência:</w:t>
      </w:r>
    </w:p>
    <w:p>
      <w:pPr>
        <w:pStyle w:val="Normal"/>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rPr>
        <w:t xml:space="preserve"> </w:t>
      </w:r>
      <w:r>
        <w:rPr>
          <w:rFonts w:ascii="EC Square Sans Pro" w:hAnsi="EC Square Sans Pro"/>
          <w:color w:val="002060"/>
        </w:rPr>
        <w:t>Petição ao Parlamento Europeu – Referência:…………………………………..</w:t>
      </w:r>
    </w:p>
    <w:p>
      <w:pPr>
        <w:pStyle w:val="Normal"/>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rPr>
        <w:t xml:space="preserve"> </w:t>
      </w:r>
      <w:r>
        <w:rPr>
          <w:rFonts w:ascii="EC Square Sans Pro" w:hAnsi="EC Square Sans Pro"/>
          <w:color w:val="002060"/>
        </w:rPr>
        <w:t>Comissão Europeia – Referência:………………………………….</w:t>
      </w:r>
    </w:p>
    <w:p>
      <w:pPr>
        <w:pStyle w:val="Normal"/>
        <w:widowControl/>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rPr>
        <w:t xml:space="preserve"> </w:t>
      </w:r>
      <w:r>
        <w:rPr>
          <w:rFonts w:ascii="EC Square Sans Pro" w:hAnsi="EC Square Sans Pro"/>
          <w:color w:val="002060"/>
        </w:rPr>
        <w:t>Provedor de Justiça – Referência:………………………………….</w:t>
      </w:r>
    </w:p>
    <w:p>
      <w:pPr>
        <w:pStyle w:val="Normal"/>
        <w:widowControl/>
        <w:spacing w:before="0" w:after="120"/>
        <w:jc w:val="both"/>
        <w:rPr>
          <w:rFonts w:ascii="EC Square Sans Pro" w:hAnsi="EC Square Sans Pro"/>
          <w:color w:val="002060"/>
        </w:rPr>
      </w:pPr>
      <w:r>
        <w:rPr>
          <w:rFonts w:eastAsia="Wingdings" w:cs="Wingdings" w:ascii="Wingdings" w:hAnsi="Wingdings"/>
          <w:color w:val="002060"/>
          <w:sz w:val="22"/>
          <w:szCs w:val="22"/>
        </w:rPr>
        <w:t></w:t>
      </w:r>
      <w:r>
        <w:rPr>
          <w:rFonts w:ascii="EC Square Sans Pro" w:hAnsi="EC Square Sans Pro"/>
          <w:color w:val="002060"/>
        </w:rPr>
        <w:t xml:space="preserve"> </w:t>
      </w:r>
      <w:r>
        <w:rPr>
          <w:rFonts w:ascii="EC Square Sans Pro" w:hAnsi="EC Square Sans Pro"/>
          <w:color w:val="002060"/>
        </w:rPr>
        <w:t>Outro – nome da instituição ou órgão contactado e referência do caso (por exemplo, SOLVIT, FIN-Net, Centros Europeus do Consumidor)</w:t>
      </w:r>
    </w:p>
    <w:tbl>
      <w:tblPr>
        <w:tblStyle w:val="TableGrid"/>
        <w:tblpPr w:bottomFromText="0" w:horzAnchor="margin" w:leftFromText="180" w:rightFromText="180" w:tblpX="0" w:tblpXSpec="center" w:tblpY="26" w:topFromText="0" w:vertAnchor="text"/>
        <w:tblW w:w="10632" w:type="dxa"/>
        <w:jc w:val="center"/>
        <w:tblInd w:w="0" w:type="dxa"/>
        <w:tblCellMar>
          <w:top w:w="0" w:type="dxa"/>
          <w:left w:w="108" w:type="dxa"/>
          <w:bottom w:w="0" w:type="dxa"/>
          <w:right w:w="108" w:type="dxa"/>
        </w:tblCellMar>
        <w:tblLook w:val="04a0"/>
      </w:tblPr>
      <w:tblGrid>
        <w:gridCol w:w="10632"/>
      </w:tblGrid>
      <w:tr>
        <w:trPr>
          <w:trHeight w:val="1407" w:hRule="atLeast"/>
        </w:trPr>
        <w:tc>
          <w:tcPr>
            <w:tcW w:w="10632" w:type="dxa"/>
            <w:tcBorders/>
            <w:shd w:fill="auto" w:val="clear"/>
          </w:tcPr>
          <w:p>
            <w:pPr>
              <w:pStyle w:val="Normal"/>
              <w:widowControl/>
              <w:jc w:val="both"/>
              <w:rPr>
                <w:rFonts w:ascii="Century" w:hAnsi="Century" w:eastAsia="Calibri" w:cs=""/>
                <w:color w:val="002060"/>
                <w:sz w:val="22"/>
                <w:szCs w:val="22"/>
              </w:rPr>
            </w:pPr>
            <w:r>
              <w:rPr>
                <w:rFonts w:eastAsia="Calibri" w:cs="" w:ascii="Century" w:hAnsi="Century"/>
                <w:color w:val="002060"/>
                <w:sz w:val="22"/>
                <w:szCs w:val="22"/>
              </w:rPr>
            </w:r>
          </w:p>
        </w:tc>
      </w:tr>
    </w:tbl>
    <w:p>
      <w:pPr>
        <w:pStyle w:val="Normal"/>
        <w:widowControl/>
        <w:spacing w:lineRule="auto" w:line="276" w:before="240" w:after="200"/>
        <w:jc w:val="both"/>
        <w:rPr>
          <w:rFonts w:ascii="EC Square Sans Pro" w:hAnsi="EC Square Sans Pro"/>
          <w:color w:val="002060"/>
          <w:sz w:val="22"/>
          <w:szCs w:val="22"/>
        </w:rPr>
      </w:pPr>
      <w:r>
        <w:rPr>
          <w:rFonts w:ascii="EC Square Sans Pro" w:hAnsi="EC Square Sans Pro"/>
          <w:color w:val="0070C0"/>
          <w:sz w:val="28"/>
        </w:rPr>
        <w:t>5. Enumere os documentos/provas que poderá, se tal lhe for solicitado, enviar à Comissão.</w:t>
      </w:r>
      <w:r>
        <w:rPr>
          <w:rFonts w:ascii="EC Square Sans Pro" w:hAnsi="EC Square Sans Pro"/>
          <w:color w:val="002060"/>
          <w:sz w:val="22"/>
        </w:rPr>
        <w:t xml:space="preserve"> </w:t>
      </w:r>
      <w:r>
        <w:rPr>
          <w:rFonts w:ascii="EC Square Sans Pro" w:hAnsi="EC Square Sans Pro"/>
          <w:color w:val="002060"/>
          <w:sz w:val="22"/>
          <w:szCs w:val="22"/>
        </w:rPr>
        <w:br/>
      </w:r>
    </w:p>
    <w:tbl>
      <w:tblPr>
        <w:tblStyle w:val="TableGrid"/>
        <w:tblW w:w="10682" w:type="dxa"/>
        <w:jc w:val="left"/>
        <w:tblInd w:w="0" w:type="dxa"/>
        <w:tblCellMar>
          <w:top w:w="0" w:type="dxa"/>
          <w:left w:w="108" w:type="dxa"/>
          <w:bottom w:w="0" w:type="dxa"/>
          <w:right w:w="108" w:type="dxa"/>
        </w:tblCellMar>
        <w:tblLook w:val="04a0"/>
      </w:tblPr>
      <w:tblGrid>
        <w:gridCol w:w="10682"/>
      </w:tblGrid>
      <w:tr>
        <w:trPr>
          <w:trHeight w:val="1580" w:hRule="atLeast"/>
        </w:trPr>
        <w:tc>
          <w:tcPr>
            <w:tcW w:w="10682" w:type="dxa"/>
            <w:tcBorders/>
            <w:shd w:fill="auto" w:val="clear"/>
          </w:tcPr>
          <w:p>
            <w:pPr>
              <w:pStyle w:val="Normal"/>
              <w:widowControl/>
              <w:spacing w:lineRule="auto" w:line="276" w:before="240" w:after="200"/>
              <w:jc w:val="both"/>
              <w:rPr>
                <w:rFonts w:ascii="Calibri" w:hAnsi="Calibri" w:eastAsia="Calibri" w:cs="" w:asciiTheme="minorHAnsi" w:cstheme="minorBidi" w:eastAsiaTheme="minorHAnsi" w:hAnsiTheme="minorHAnsi"/>
                <w:szCs w:val="22"/>
              </w:rPr>
            </w:pPr>
            <w:r>
              <w:rPr>
                <w:rFonts w:eastAsia="Calibri" w:cs="" w:cstheme="minorBidi" w:eastAsiaTheme="minorHAnsi" w:ascii="EC Square Sans Pro" w:hAnsi="EC Square Sans Pro"/>
                <w:color w:val="002060"/>
                <w:sz w:val="22"/>
                <w:szCs w:val="22"/>
              </w:rPr>
              <w:t>Toda a correspondência interna efectuada pelos técnicos da APA e respectiva Comissão de Avaliação, bem como os ofícios de comunicação com a Assembleia da República. Noticias da Comunicação Social relacionadas com a obra e com o desenvolvimento da mesma, discordantes, e provenientes de vários actores do cenário cientifico e politico português. Pareceres científicos discordantes, de professores e investigadores de reputadas universidades e centros de investigação nacionais, dos estudos apresentados pelo EIA sobre a qualidade dos sedimentos sobre as zonas de depósito aprovadas. Toda a documentação do processo inicial. Vídeos e fotografias de todas as infracções com o depósito de sedimentos, ausências de monitorização, e registos da elevada taxa de mortalidade de animais após o inicio do processo de dragagem, bem como da elevada contestação cidadã que se fez sentir na cidade de Setúbal através de manifestações e vigílias.</w:t>
            </w:r>
          </w:p>
          <w:p>
            <w:pPr>
              <w:pStyle w:val="Normal"/>
              <w:widowControl/>
              <w:jc w:val="both"/>
              <w:rPr>
                <w:rFonts w:ascii="Century" w:hAnsi="Century" w:eastAsia="Calibri" w:cs=""/>
                <w:color w:val="002060"/>
                <w:sz w:val="22"/>
                <w:szCs w:val="22"/>
              </w:rPr>
            </w:pPr>
            <w:r>
              <w:rPr>
                <w:rFonts w:eastAsia="Calibri" w:cs="" w:ascii="Century" w:hAnsi="Century"/>
                <w:color w:val="002060"/>
                <w:sz w:val="22"/>
                <w:szCs w:val="22"/>
              </w:rPr>
            </w:r>
          </w:p>
        </w:tc>
      </w:tr>
    </w:tbl>
    <w:p>
      <w:pPr>
        <w:pStyle w:val="Normal"/>
        <w:widowControl/>
        <w:spacing w:lineRule="auto" w:line="276" w:before="120" w:after="200"/>
        <w:jc w:val="both"/>
        <w:rPr>
          <w:rFonts w:ascii="EC Square Sans Pro" w:hAnsi="EC Square Sans Pro"/>
          <w:color w:val="0070C0"/>
          <w:sz w:val="28"/>
          <w:szCs w:val="22"/>
        </w:rPr>
      </w:pPr>
      <w:r>
        <w:rPr>
          <w:rFonts w:ascii="EC Square Sans Pro" w:hAnsi="EC Square Sans Pro"/>
          <w:color w:val="0070C0"/>
          <w:sz w:val="28"/>
        </w:rPr>
        <w:t>6. Dados pessoais*</w:t>
      </w:r>
    </w:p>
    <w:p>
      <w:pPr>
        <w:pStyle w:val="Normal"/>
        <w:widowControl/>
        <w:spacing w:lineRule="auto" w:line="276" w:before="0" w:after="120"/>
        <w:jc w:val="both"/>
        <w:rPr>
          <w:rFonts w:ascii="EC Square Sans Pro" w:hAnsi="EC Square Sans Pro"/>
          <w:color w:val="002060"/>
          <w:szCs w:val="22"/>
        </w:rPr>
      </w:pPr>
      <w:r>
        <w:rPr>
          <w:rFonts w:ascii="EC Square Sans Pro" w:hAnsi="EC Square Sans Pro"/>
          <w:color w:val="002060"/>
        </w:rPr>
        <w:t>Autoriza a Comissão a divulgar a sua identidade no contexto das suas diligências junto das autoridades do país da UE objeto da denúncia?</w:t>
      </w:r>
    </w:p>
    <w:p>
      <w:pPr>
        <w:pStyle w:val="Normal"/>
        <w:widowControl/>
        <w:spacing w:lineRule="auto" w:line="276" w:before="0" w:after="120"/>
        <w:jc w:val="both"/>
        <w:rPr>
          <w:rFonts w:ascii="EC Square Sans Pro" w:hAnsi="EC Square Sans Pro"/>
          <w:color w:val="002060"/>
          <w:sz w:val="22"/>
          <w:szCs w:val="22"/>
        </w:rPr>
      </w:pPr>
      <w:r>
        <w:rPr>
          <w:rFonts w:ascii="EC Square Sans Pro" w:hAnsi="EC Square Sans Pro"/>
          <w:color w:val="002060"/>
          <w:sz w:val="22"/>
          <w:szCs w:val="22"/>
        </w:rPr>
        <w:t xml:space="preserve"> </w:t>
      </w:r>
      <w:r>
        <w:rPr>
          <w:rFonts w:ascii="EC Square Sans Pro" w:hAnsi="EC Square Sans Pro"/>
          <w:color w:val="002060"/>
          <w:sz w:val="22"/>
          <w:szCs w:val="22"/>
        </w:rPr>
        <w:t>x</w:t>
      </w:r>
      <w:r>
        <w:rPr>
          <w:rFonts w:ascii="EC Square Sans Pro" w:hAnsi="EC Square Sans Pro"/>
          <w:color w:val="002060"/>
        </w:rPr>
        <w:t xml:space="preserve"> Sim             </w:t>
      </w:r>
      <w:r>
        <w:rPr>
          <w:rFonts w:eastAsia="Wingdings" w:cs="Wingdings" w:ascii="Wingdings" w:hAnsi="Wingdings"/>
          <w:color w:val="002060"/>
          <w:sz w:val="22"/>
          <w:szCs w:val="22"/>
        </w:rPr>
        <w:t></w:t>
      </w:r>
      <w:r>
        <w:rPr>
          <w:rFonts w:ascii="EC Square Sans Pro" w:hAnsi="EC Square Sans Pro"/>
          <w:color w:val="002060"/>
        </w:rPr>
        <w:t xml:space="preserve"> Não</w:t>
      </w:r>
    </w:p>
    <w:p>
      <w:pPr>
        <w:pStyle w:val="Normal"/>
        <w:widowControl/>
        <w:spacing w:lineRule="auto" w:line="276"/>
        <w:jc w:val="both"/>
        <w:rPr/>
      </w:pPr>
      <w:r>
        <w:rPr/>
        <w:drawing>
          <wp:inline distT="0" distB="0" distL="0" distR="0">
            <wp:extent cx="152400" cy="152400"/>
            <wp:effectExtent l="0" t="0" r="0" b="0"/>
            <wp:docPr id="6" name="Picture 75"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5" descr="warning"/>
                    <pic:cNvPicPr>
                      <a:picLocks noChangeAspect="1" noChangeArrowheads="1"/>
                    </pic:cNvPicPr>
                  </pic:nvPicPr>
                  <pic:blipFill>
                    <a:blip r:embed="rId30"/>
                    <a:stretch>
                      <a:fillRect/>
                    </a:stretch>
                  </pic:blipFill>
                  <pic:spPr bwMode="auto">
                    <a:xfrm>
                      <a:off x="0" y="0"/>
                      <a:ext cx="152400" cy="152400"/>
                    </a:xfrm>
                    <a:prstGeom prst="rect">
                      <a:avLst/>
                    </a:prstGeom>
                  </pic:spPr>
                </pic:pic>
              </a:graphicData>
            </a:graphic>
          </wp:inline>
        </w:drawing>
      </w:r>
      <w:r>
        <w:rPr>
          <w:rFonts w:ascii="EC Square Sans Pro" w:hAnsi="EC Square Sans Pro"/>
          <w:i/>
          <w:color w:val="002060"/>
          <w:sz w:val="22"/>
        </w:rPr>
        <w:t>Em alguns casos, a divulgação da sua identidade pode facilitar o tratamento da denúncia.</w:t>
      </w:r>
    </w:p>
    <w:sectPr>
      <w:type w:val="nextPage"/>
      <w:pgSz w:w="11906" w:h="16838"/>
      <w:pgMar w:left="720"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Century">
    <w:charset w:val="01"/>
    <w:family w:val="roman"/>
    <w:pitch w:val="variable"/>
  </w:font>
  <w:font w:name="EC Square Sans Pro">
    <w:charset w:val="01"/>
    <w:family w:val="roman"/>
    <w:pitch w:val="variable"/>
  </w:font>
  <w:font w:name="Menlo Regular">
    <w:charset w:val="01"/>
    <w:family w:val="roman"/>
    <w:pitch w:val="variable"/>
  </w:font>
  <w:font w:name="EC Square Sans Cond Pro">
    <w:charset w:val="01"/>
    <w:family w:val="roman"/>
    <w:pitch w:val="variable"/>
  </w:font>
  <w:font w:name="ECSquareSansPro">
    <w:charset w:val="01"/>
    <w:family w:val="roman"/>
    <w:pitch w:val="variable"/>
  </w:font>
  <w:font w:name="Calibri">
    <w:charset w:val="01"/>
    <w:family w:val="roman"/>
    <w:pitch w:val="variable"/>
  </w:font>
  <w:font w:name="Wingdings">
    <w:charset w:val="01"/>
    <w:family w:val="roman"/>
    <w:pitch w:val="variable"/>
  </w:font>
  <w:font w:name="Arial">
    <w:charset w:val="01"/>
    <w:family w:val="auto"/>
    <w:pitch w:val="variable"/>
  </w:font>
  <w:font w:name="Symbol">
    <w:charset w:val="02"/>
    <w:family w:val="auto"/>
    <w:pitch w:val="variable"/>
  </w:font>
  <w:font w:name="Courier New">
    <w:charset w:val="01"/>
    <w:family w:val="auto"/>
    <w:pitch w:val="variable"/>
  </w:font>
  <w:font w:name="Wingdings">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0" w:hanging="0"/>
      </w:pPr>
      <w:rPr>
        <w:rFonts w:ascii="Arial" w:hAnsi="Arial" w:cs="Arial" w:hint="default"/>
        <w:smallCaps w:val="false"/>
        <w:caps w:val="false"/>
        <w:dstrike w:val="false"/>
        <w:strike w:val="false"/>
        <w:sz w:val="20"/>
        <w:spacing w:val="0"/>
        <w:i w:val="false"/>
        <w:u w:val="none"/>
        <w:b w:val="false"/>
        <w:szCs w:val="15"/>
        <w:iCs w:val="false"/>
        <w:bCs/>
        <w:w w:val="100"/>
        <w:rFonts w:cs="Arial"/>
        <w:color w:val="000000"/>
        <w:lang w:val="en-US" w:eastAsia="en-US" w:bidi="en-US"/>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sz w:val="20"/>
        <w:b w:val="false"/>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0"/>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tabs>
          <w:tab w:val="num" w:pos="743"/>
        </w:tabs>
        <w:ind w:left="743" w:hanging="360"/>
      </w:pPr>
      <w:rPr>
        <w:rFonts w:ascii="Symbol" w:hAnsi="Symbol" w:cs="Symbol" w:hint="default"/>
        <w:sz w:val="20"/>
        <w:rFonts w:cs="OpenSymbol"/>
      </w:rPr>
    </w:lvl>
    <w:lvl w:ilvl="1">
      <w:start w:val="1"/>
      <w:numFmt w:val="bullet"/>
      <w:lvlText w:val="◦"/>
      <w:lvlJc w:val="left"/>
      <w:pPr>
        <w:tabs>
          <w:tab w:val="num" w:pos="1103"/>
        </w:tabs>
        <w:ind w:left="1103" w:hanging="360"/>
      </w:pPr>
      <w:rPr>
        <w:rFonts w:ascii="OpenSymbol" w:hAnsi="OpenSymbol" w:cs="OpenSymbol" w:hint="default"/>
        <w:rFonts w:cs="OpenSymbol"/>
      </w:rPr>
    </w:lvl>
    <w:lvl w:ilvl="2">
      <w:start w:val="1"/>
      <w:numFmt w:val="bullet"/>
      <w:lvlText w:val="▪"/>
      <w:lvlJc w:val="left"/>
      <w:pPr>
        <w:tabs>
          <w:tab w:val="num" w:pos="1463"/>
        </w:tabs>
        <w:ind w:left="1463" w:hanging="360"/>
      </w:pPr>
      <w:rPr>
        <w:rFonts w:ascii="OpenSymbol" w:hAnsi="OpenSymbol" w:cs="OpenSymbol" w:hint="default"/>
        <w:rFonts w:cs="OpenSymbol"/>
      </w:rPr>
    </w:lvl>
    <w:lvl w:ilvl="3">
      <w:start w:val="1"/>
      <w:numFmt w:val="bullet"/>
      <w:lvlText w:val=""/>
      <w:lvlJc w:val="left"/>
      <w:pPr>
        <w:tabs>
          <w:tab w:val="num" w:pos="1823"/>
        </w:tabs>
        <w:ind w:left="1823" w:hanging="360"/>
      </w:pPr>
      <w:rPr>
        <w:rFonts w:ascii="Symbol" w:hAnsi="Symbol" w:cs="Symbol" w:hint="default"/>
        <w:rFonts w:cs="OpenSymbol"/>
      </w:rPr>
    </w:lvl>
    <w:lvl w:ilvl="4">
      <w:start w:val="1"/>
      <w:numFmt w:val="bullet"/>
      <w:lvlText w:val="◦"/>
      <w:lvlJc w:val="left"/>
      <w:pPr>
        <w:tabs>
          <w:tab w:val="num" w:pos="2183"/>
        </w:tabs>
        <w:ind w:left="2183" w:hanging="360"/>
      </w:pPr>
      <w:rPr>
        <w:rFonts w:ascii="OpenSymbol" w:hAnsi="OpenSymbol" w:cs="OpenSymbol" w:hint="default"/>
        <w:rFonts w:cs="OpenSymbol"/>
      </w:rPr>
    </w:lvl>
    <w:lvl w:ilvl="5">
      <w:start w:val="1"/>
      <w:numFmt w:val="bullet"/>
      <w:lvlText w:val="▪"/>
      <w:lvlJc w:val="left"/>
      <w:pPr>
        <w:tabs>
          <w:tab w:val="num" w:pos="2543"/>
        </w:tabs>
        <w:ind w:left="2543" w:hanging="360"/>
      </w:pPr>
      <w:rPr>
        <w:rFonts w:ascii="OpenSymbol" w:hAnsi="OpenSymbol" w:cs="OpenSymbol" w:hint="default"/>
        <w:rFonts w:cs="OpenSymbol"/>
      </w:rPr>
    </w:lvl>
    <w:lvl w:ilvl="6">
      <w:start w:val="1"/>
      <w:numFmt w:val="bullet"/>
      <w:lvlText w:val=""/>
      <w:lvlJc w:val="left"/>
      <w:pPr>
        <w:tabs>
          <w:tab w:val="num" w:pos="2903"/>
        </w:tabs>
        <w:ind w:left="2903" w:hanging="360"/>
      </w:pPr>
      <w:rPr>
        <w:rFonts w:ascii="Symbol" w:hAnsi="Symbol" w:cs="Symbol" w:hint="default"/>
        <w:rFonts w:cs="OpenSymbol"/>
      </w:rPr>
    </w:lvl>
    <w:lvl w:ilvl="7">
      <w:start w:val="1"/>
      <w:numFmt w:val="bullet"/>
      <w:lvlText w:val="◦"/>
      <w:lvlJc w:val="left"/>
      <w:pPr>
        <w:tabs>
          <w:tab w:val="num" w:pos="3263"/>
        </w:tabs>
        <w:ind w:left="3263" w:hanging="360"/>
      </w:pPr>
      <w:rPr>
        <w:rFonts w:ascii="OpenSymbol" w:hAnsi="OpenSymbol" w:cs="OpenSymbol" w:hint="default"/>
        <w:rFonts w:cs="OpenSymbol"/>
      </w:rPr>
    </w:lvl>
    <w:lvl w:ilvl="8">
      <w:start w:val="1"/>
      <w:numFmt w:val="bullet"/>
      <w:lvlText w:val="▪"/>
      <w:lvlJc w:val="left"/>
      <w:pPr>
        <w:tabs>
          <w:tab w:val="num" w:pos="3623"/>
        </w:tabs>
        <w:ind w:left="3623" w:hanging="360"/>
      </w:pPr>
      <w:rPr>
        <w:rFonts w:ascii="OpenSymbol" w:hAnsi="OpenSymbol" w:cs="OpenSymbol" w:hint="default"/>
        <w:rFonts w:cs="OpenSymbol"/>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20"/>
  <w:compat>
    <w:doNotExpandShiftReturn/>
  </w:compat>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pt-PT" w:eastAsia="pt-PT" w:bidi="pt-PT"/>
      </w:rPr>
    </w:rPrDefault>
    <w:pPrDefault>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73fd8"/>
    <w:pPr>
      <w:widowControl w:val="false"/>
      <w:bidi w:val="0"/>
      <w:spacing w:before="0" w:after="0"/>
      <w:jc w:val="left"/>
    </w:pPr>
    <w:rPr>
      <w:rFonts w:ascii="Times New Roman" w:hAnsi="Times New Roman" w:eastAsia="Times New Roman" w:cs="Times New Roman"/>
      <w:color w:val="000000"/>
      <w:kern w:val="0"/>
      <w:sz w:val="24"/>
      <w:szCs w:val="24"/>
      <w:lang w:val="pt-PT" w:eastAsia="pt-PT" w:bidi="pt-PT"/>
    </w:rPr>
  </w:style>
  <w:style w:type="character" w:styleId="DefaultParagraphFont" w:default="1">
    <w:name w:val="Default Paragraph Font"/>
    <w:semiHidden/>
    <w:unhideWhenUsed/>
    <w:qFormat/>
    <w:rPr/>
  </w:style>
  <w:style w:type="character" w:styleId="Bodytext3" w:customStyle="1">
    <w:name w:val="Body text (3)_"/>
    <w:basedOn w:val="DefaultParagraphFont"/>
    <w:link w:val="Bodytext30"/>
    <w:qFormat/>
    <w:rsid w:val="00d73fd8"/>
    <w:rPr>
      <w:rFonts w:ascii="Arial" w:hAnsi="Arial" w:eastAsia="Arial" w:cs="Arial"/>
      <w:b/>
      <w:bCs/>
      <w:i w:val="false"/>
      <w:iCs w:val="false"/>
      <w:caps w:val="false"/>
      <w:smallCaps w:val="false"/>
      <w:strike w:val="false"/>
      <w:dstrike w:val="false"/>
      <w:u w:val="none"/>
    </w:rPr>
  </w:style>
  <w:style w:type="character" w:styleId="Bodytext2" w:customStyle="1">
    <w:name w:val="Body text (2)_"/>
    <w:basedOn w:val="DefaultParagraphFont"/>
    <w:link w:val="Bodytext20"/>
    <w:qFormat/>
    <w:rsid w:val="00d73fd8"/>
    <w:rPr>
      <w:rFonts w:ascii="Arial" w:hAnsi="Arial" w:eastAsia="Arial" w:cs="Arial"/>
      <w:b/>
      <w:bCs/>
      <w:i w:val="false"/>
      <w:iCs w:val="false"/>
      <w:caps w:val="false"/>
      <w:smallCaps w:val="false"/>
      <w:strike w:val="false"/>
      <w:dstrike w:val="false"/>
      <w:sz w:val="15"/>
      <w:szCs w:val="15"/>
      <w:u w:val="none"/>
    </w:rPr>
  </w:style>
  <w:style w:type="character" w:styleId="Bodytext21" w:customStyle="1">
    <w:name w:val="Body text (2)"/>
    <w:basedOn w:val="Bodytext2"/>
    <w:qFormat/>
    <w:rsid w:val="00d73fd8"/>
    <w:rPr>
      <w:rFonts w:ascii="Arial" w:hAnsi="Arial" w:eastAsia="Arial" w:cs="Arial"/>
      <w:b/>
      <w:bCs/>
      <w:i w:val="false"/>
      <w:iCs w:val="false"/>
      <w:caps w:val="false"/>
      <w:smallCaps w:val="false"/>
      <w:strike w:val="false"/>
      <w:dstrike w:val="false"/>
      <w:color w:val="000000"/>
      <w:spacing w:val="0"/>
      <w:w w:val="100"/>
      <w:sz w:val="15"/>
      <w:szCs w:val="15"/>
      <w:u w:val="single"/>
      <w:lang w:val="pt-PT" w:eastAsia="pt-PT" w:bidi="pt-PT"/>
    </w:rPr>
  </w:style>
  <w:style w:type="character" w:styleId="Heading42" w:customStyle="1">
    <w:name w:val="Heading #4 (2)_"/>
    <w:basedOn w:val="DefaultParagraphFont"/>
    <w:link w:val="Heading420"/>
    <w:qFormat/>
    <w:rsid w:val="00d73fd8"/>
    <w:rPr>
      <w:rFonts w:ascii="Arial" w:hAnsi="Arial" w:eastAsia="Arial" w:cs="Arial"/>
      <w:b/>
      <w:bCs/>
      <w:i w:val="false"/>
      <w:iCs w:val="false"/>
      <w:caps w:val="false"/>
      <w:smallCaps w:val="false"/>
      <w:strike w:val="false"/>
      <w:dstrike w:val="false"/>
      <w:sz w:val="15"/>
      <w:szCs w:val="15"/>
      <w:u w:val="none"/>
    </w:rPr>
  </w:style>
  <w:style w:type="character" w:styleId="Heading1" w:customStyle="1">
    <w:name w:val="Heading #1_"/>
    <w:basedOn w:val="DefaultParagraphFont"/>
    <w:link w:val="Heading10"/>
    <w:qFormat/>
    <w:rsid w:val="00d73fd8"/>
    <w:rPr>
      <w:rFonts w:ascii="Arial" w:hAnsi="Arial" w:eastAsia="Arial" w:cs="Arial"/>
      <w:b w:val="false"/>
      <w:bCs w:val="false"/>
      <w:i w:val="false"/>
      <w:iCs w:val="false"/>
      <w:caps w:val="false"/>
      <w:smallCaps w:val="false"/>
      <w:strike w:val="false"/>
      <w:dstrike w:val="false"/>
      <w:sz w:val="28"/>
      <w:szCs w:val="28"/>
      <w:u w:val="none"/>
    </w:rPr>
  </w:style>
  <w:style w:type="character" w:styleId="Heading4" w:customStyle="1">
    <w:name w:val="Heading #4_"/>
    <w:basedOn w:val="DefaultParagraphFont"/>
    <w:link w:val="Heading40"/>
    <w:qFormat/>
    <w:rsid w:val="00d73fd8"/>
    <w:rPr>
      <w:rFonts w:ascii="Arial" w:hAnsi="Arial" w:eastAsia="Arial" w:cs="Arial"/>
      <w:b/>
      <w:bCs/>
      <w:i w:val="false"/>
      <w:iCs w:val="false"/>
      <w:caps w:val="false"/>
      <w:smallCaps w:val="false"/>
      <w:strike w:val="false"/>
      <w:dstrike w:val="false"/>
      <w:sz w:val="16"/>
      <w:szCs w:val="16"/>
      <w:u w:val="none"/>
    </w:rPr>
  </w:style>
  <w:style w:type="character" w:styleId="Bodytext4" w:customStyle="1">
    <w:name w:val="Body text (4)_"/>
    <w:basedOn w:val="DefaultParagraphFont"/>
    <w:link w:val="Bodytext40"/>
    <w:qFormat/>
    <w:rsid w:val="00d73fd8"/>
    <w:rPr>
      <w:rFonts w:ascii="Arial" w:hAnsi="Arial" w:eastAsia="Arial" w:cs="Arial"/>
      <w:b/>
      <w:bCs/>
      <w:i w:val="false"/>
      <w:iCs w:val="false"/>
      <w:caps w:val="false"/>
      <w:smallCaps w:val="false"/>
      <w:strike w:val="false"/>
      <w:dstrike w:val="false"/>
      <w:sz w:val="13"/>
      <w:szCs w:val="13"/>
      <w:u w:val="none"/>
    </w:rPr>
  </w:style>
  <w:style w:type="character" w:styleId="Heading3" w:customStyle="1">
    <w:name w:val="Heading #3_"/>
    <w:basedOn w:val="DefaultParagraphFont"/>
    <w:link w:val="Heading30"/>
    <w:qFormat/>
    <w:rsid w:val="00d73fd8"/>
    <w:rPr>
      <w:rFonts w:ascii="Arial" w:hAnsi="Arial" w:eastAsia="Arial" w:cs="Arial"/>
      <w:b w:val="false"/>
      <w:bCs w:val="false"/>
      <w:i w:val="false"/>
      <w:iCs w:val="false"/>
      <w:caps w:val="false"/>
      <w:smallCaps w:val="false"/>
      <w:strike w:val="false"/>
      <w:dstrike w:val="false"/>
      <w:sz w:val="21"/>
      <w:szCs w:val="21"/>
      <w:u w:val="none"/>
    </w:rPr>
  </w:style>
  <w:style w:type="character" w:styleId="Headerorfooter" w:customStyle="1">
    <w:name w:val="Header or footer_"/>
    <w:basedOn w:val="DefaultParagraphFont"/>
    <w:link w:val="Headerorfooter0"/>
    <w:qFormat/>
    <w:rsid w:val="00d73fd8"/>
    <w:rPr>
      <w:rFonts w:ascii="Arial" w:hAnsi="Arial" w:eastAsia="Arial" w:cs="Arial"/>
      <w:b/>
      <w:bCs/>
      <w:i w:val="false"/>
      <w:iCs w:val="false"/>
      <w:caps w:val="false"/>
      <w:smallCaps w:val="false"/>
      <w:strike w:val="false"/>
      <w:dstrike w:val="false"/>
      <w:sz w:val="12"/>
      <w:szCs w:val="12"/>
      <w:u w:val="none"/>
    </w:rPr>
  </w:style>
  <w:style w:type="character" w:styleId="Headerorfooter1" w:customStyle="1">
    <w:name w:val="Header or footer"/>
    <w:basedOn w:val="Headerorfooter"/>
    <w:qFormat/>
    <w:rsid w:val="00d73fd8"/>
    <w:rPr>
      <w:rFonts w:ascii="Arial" w:hAnsi="Arial" w:eastAsia="Arial" w:cs="Arial"/>
      <w:b/>
      <w:bCs/>
      <w:i w:val="false"/>
      <w:iCs w:val="false"/>
      <w:caps w:val="false"/>
      <w:smallCaps w:val="false"/>
      <w:strike w:val="false"/>
      <w:dstrike w:val="false"/>
      <w:color w:val="000000"/>
      <w:spacing w:val="0"/>
      <w:w w:val="100"/>
      <w:sz w:val="12"/>
      <w:szCs w:val="12"/>
      <w:u w:val="none"/>
      <w:lang w:val="pt-PT" w:eastAsia="pt-PT" w:bidi="pt-PT"/>
    </w:rPr>
  </w:style>
  <w:style w:type="character" w:styleId="Bodytext5" w:customStyle="1">
    <w:name w:val="Body text (5)_"/>
    <w:basedOn w:val="DefaultParagraphFont"/>
    <w:link w:val="Bodytext50"/>
    <w:qFormat/>
    <w:rsid w:val="00d73fd8"/>
    <w:rPr>
      <w:rFonts w:ascii="Arial" w:hAnsi="Arial" w:eastAsia="Arial" w:cs="Arial"/>
      <w:b w:val="false"/>
      <w:bCs w:val="false"/>
      <w:i w:val="false"/>
      <w:iCs w:val="false"/>
      <w:caps w:val="false"/>
      <w:smallCaps w:val="false"/>
      <w:strike w:val="false"/>
      <w:dstrike w:val="false"/>
      <w:sz w:val="10"/>
      <w:szCs w:val="10"/>
      <w:u w:val="none"/>
    </w:rPr>
  </w:style>
  <w:style w:type="character" w:styleId="Heading2" w:customStyle="1">
    <w:name w:val="Heading #2_"/>
    <w:basedOn w:val="DefaultParagraphFont"/>
    <w:link w:val="Heading20"/>
    <w:qFormat/>
    <w:rsid w:val="00d73fd8"/>
    <w:rPr>
      <w:rFonts w:ascii="Arial" w:hAnsi="Arial" w:eastAsia="Arial" w:cs="Arial"/>
      <w:b/>
      <w:bCs/>
      <w:i w:val="false"/>
      <w:iCs w:val="false"/>
      <w:caps w:val="false"/>
      <w:smallCaps w:val="false"/>
      <w:strike w:val="false"/>
      <w:dstrike w:val="false"/>
      <w:sz w:val="16"/>
      <w:szCs w:val="16"/>
      <w:u w:val="none"/>
    </w:rPr>
  </w:style>
  <w:style w:type="character" w:styleId="Heading32" w:customStyle="1">
    <w:name w:val="Heading #3 (2)_"/>
    <w:basedOn w:val="DefaultParagraphFont"/>
    <w:link w:val="Heading320"/>
    <w:qFormat/>
    <w:rsid w:val="00d73fd8"/>
    <w:rPr>
      <w:rFonts w:ascii="Arial" w:hAnsi="Arial" w:eastAsia="Arial" w:cs="Arial"/>
      <w:b w:val="false"/>
      <w:bCs w:val="false"/>
      <w:i w:val="false"/>
      <w:iCs w:val="false"/>
      <w:caps w:val="false"/>
      <w:smallCaps w:val="false"/>
      <w:strike w:val="false"/>
      <w:dstrike w:val="false"/>
      <w:sz w:val="21"/>
      <w:szCs w:val="21"/>
      <w:u w:val="none"/>
    </w:rPr>
  </w:style>
  <w:style w:type="character" w:styleId="Bodytext6" w:customStyle="1">
    <w:name w:val="Body text (6)_"/>
    <w:basedOn w:val="DefaultParagraphFont"/>
    <w:link w:val="Bodytext60"/>
    <w:qFormat/>
    <w:rsid w:val="00d73fd8"/>
    <w:rPr>
      <w:rFonts w:ascii="Arial" w:hAnsi="Arial" w:eastAsia="Arial" w:cs="Arial"/>
      <w:b/>
      <w:bCs/>
      <w:i w:val="false"/>
      <w:iCs w:val="false"/>
      <w:caps w:val="false"/>
      <w:smallCaps w:val="false"/>
      <w:strike w:val="false"/>
      <w:dstrike w:val="false"/>
      <w:sz w:val="15"/>
      <w:szCs w:val="15"/>
      <w:u w:val="none"/>
    </w:rPr>
  </w:style>
  <w:style w:type="character" w:styleId="Bodytext613pt" w:customStyle="1">
    <w:name w:val="Body text (6) + 13 pt"/>
    <w:basedOn w:val="Bodytext6"/>
    <w:qFormat/>
    <w:rsid w:val="00d73fd8"/>
    <w:rPr>
      <w:rFonts w:ascii="Arial" w:hAnsi="Arial" w:eastAsia="Arial" w:cs="Arial"/>
      <w:b/>
      <w:bCs/>
      <w:i/>
      <w:iCs/>
      <w:caps w:val="false"/>
      <w:smallCaps w:val="false"/>
      <w:strike w:val="false"/>
      <w:dstrike w:val="false"/>
      <w:color w:val="000000"/>
      <w:spacing w:val="0"/>
      <w:w w:val="100"/>
      <w:sz w:val="26"/>
      <w:szCs w:val="26"/>
      <w:u w:val="none"/>
      <w:lang w:val="pt-PT" w:eastAsia="pt-PT" w:bidi="pt-PT"/>
    </w:rPr>
  </w:style>
  <w:style w:type="character" w:styleId="Bodytext41" w:customStyle="1">
    <w:name w:val="Body text (4)"/>
    <w:basedOn w:val="Bodytext4"/>
    <w:qFormat/>
    <w:rsid w:val="00d73fd8"/>
    <w:rPr>
      <w:rFonts w:ascii="Arial" w:hAnsi="Arial" w:eastAsia="Arial" w:cs="Arial"/>
      <w:b/>
      <w:bCs/>
      <w:i w:val="false"/>
      <w:iCs w:val="false"/>
      <w:caps w:val="false"/>
      <w:smallCaps w:val="false"/>
      <w:strike w:val="false"/>
      <w:dstrike w:val="false"/>
      <w:color w:val="000000"/>
      <w:spacing w:val="0"/>
      <w:w w:val="100"/>
      <w:sz w:val="13"/>
      <w:szCs w:val="13"/>
      <w:u w:val="single"/>
      <w:lang w:val="pt-PT" w:eastAsia="pt-PT" w:bidi="pt-PT"/>
    </w:rPr>
  </w:style>
  <w:style w:type="character" w:styleId="Bodytext7" w:customStyle="1">
    <w:name w:val="Body text (7)_"/>
    <w:basedOn w:val="DefaultParagraphFont"/>
    <w:link w:val="Bodytext70"/>
    <w:qFormat/>
    <w:rsid w:val="00d73fd8"/>
    <w:rPr>
      <w:rFonts w:ascii="Arial" w:hAnsi="Arial" w:eastAsia="Arial" w:cs="Arial"/>
      <w:b/>
      <w:bCs/>
      <w:i w:val="false"/>
      <w:iCs w:val="false"/>
      <w:caps w:val="false"/>
      <w:smallCaps w:val="false"/>
      <w:strike w:val="false"/>
      <w:dstrike w:val="false"/>
      <w:sz w:val="14"/>
      <w:szCs w:val="14"/>
      <w:u w:val="none"/>
    </w:rPr>
  </w:style>
  <w:style w:type="character" w:styleId="BalloonTextChar" w:customStyle="1">
    <w:name w:val="Balloon Text Char"/>
    <w:basedOn w:val="DefaultParagraphFont"/>
    <w:link w:val="BalloonText"/>
    <w:uiPriority w:val="99"/>
    <w:semiHidden/>
    <w:qFormat/>
    <w:rsid w:val="008669fe"/>
    <w:rPr>
      <w:rFonts w:ascii="Tahoma" w:hAnsi="Tahoma" w:cs="Tahoma"/>
      <w:color w:val="000000"/>
      <w:sz w:val="16"/>
      <w:szCs w:val="16"/>
    </w:rPr>
  </w:style>
  <w:style w:type="character" w:styleId="HeaderChar" w:customStyle="1">
    <w:name w:val="Header Char"/>
    <w:basedOn w:val="DefaultParagraphFont"/>
    <w:link w:val="Header"/>
    <w:uiPriority w:val="99"/>
    <w:qFormat/>
    <w:rsid w:val="00994bcb"/>
    <w:rPr>
      <w:color w:val="000000"/>
    </w:rPr>
  </w:style>
  <w:style w:type="character" w:styleId="FooterChar" w:customStyle="1">
    <w:name w:val="Footer Char"/>
    <w:basedOn w:val="DefaultParagraphFont"/>
    <w:link w:val="Footer"/>
    <w:uiPriority w:val="99"/>
    <w:qFormat/>
    <w:rsid w:val="00994bcb"/>
    <w:rPr>
      <w:color w:val="000000"/>
    </w:rPr>
  </w:style>
  <w:style w:type="character" w:styleId="LigaodeInternet">
    <w:name w:val="Ligação de Internet"/>
    <w:basedOn w:val="DefaultParagraphFont"/>
    <w:uiPriority w:val="99"/>
    <w:unhideWhenUsed/>
    <w:qFormat/>
    <w:rsid w:val="00ee19a7"/>
    <w:rPr>
      <w:color w:val="0000FF" w:themeColor="hyperlink"/>
      <w:u w:val="single"/>
    </w:rPr>
  </w:style>
  <w:style w:type="character" w:styleId="FollowedHyperlink">
    <w:name w:val="FollowedHyperlink"/>
    <w:basedOn w:val="DefaultParagraphFont"/>
    <w:uiPriority w:val="99"/>
    <w:semiHidden/>
    <w:unhideWhenUsed/>
    <w:qFormat/>
    <w:rsid w:val="004b14b2"/>
    <w:rPr>
      <w:color w:val="800080" w:themeColor="followedHyperlink"/>
      <w:u w:val="single"/>
    </w:rPr>
  </w:style>
  <w:style w:type="character" w:styleId="Annotationreference">
    <w:name w:val="annotation reference"/>
    <w:basedOn w:val="DefaultParagraphFont"/>
    <w:uiPriority w:val="99"/>
    <w:semiHidden/>
    <w:unhideWhenUsed/>
    <w:qFormat/>
    <w:rsid w:val="00fd36ab"/>
    <w:rPr>
      <w:sz w:val="16"/>
      <w:szCs w:val="16"/>
    </w:rPr>
  </w:style>
  <w:style w:type="character" w:styleId="CommentTextChar" w:customStyle="1">
    <w:name w:val="Comment Text Char"/>
    <w:basedOn w:val="DefaultParagraphFont"/>
    <w:link w:val="CommentText"/>
    <w:uiPriority w:val="99"/>
    <w:semiHidden/>
    <w:qFormat/>
    <w:rsid w:val="00fd36ab"/>
    <w:rPr>
      <w:color w:val="000000"/>
      <w:sz w:val="20"/>
      <w:szCs w:val="20"/>
    </w:rPr>
  </w:style>
  <w:style w:type="character" w:styleId="CommentSubjectChar" w:customStyle="1">
    <w:name w:val="Comment Subject Char"/>
    <w:basedOn w:val="CommentTextChar"/>
    <w:link w:val="CommentSubject"/>
    <w:uiPriority w:val="99"/>
    <w:semiHidden/>
    <w:qFormat/>
    <w:rsid w:val="00fd36ab"/>
    <w:rPr>
      <w:b/>
      <w:bCs/>
      <w:color w:val="000000"/>
      <w:sz w:val="20"/>
      <w:szCs w:val="20"/>
    </w:rPr>
  </w:style>
  <w:style w:type="character" w:styleId="Marcas">
    <w:name w:val="Marcas"/>
    <w:qFormat/>
    <w:rPr>
      <w:rFonts w:ascii="OpenSymbol" w:hAnsi="OpenSymbol" w:eastAsia="OpenSymbol" w:cs="OpenSymbol"/>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Unicode MS"/>
    </w:rPr>
  </w:style>
  <w:style w:type="paragraph" w:styleId="Ttulo">
    <w:name w:val="Título"/>
    <w:basedOn w:val="Normal"/>
    <w:next w:val="TextBody"/>
    <w:qFormat/>
    <w:pPr>
      <w:keepNext w:val="true"/>
      <w:spacing w:before="240" w:after="120"/>
    </w:pPr>
    <w:rPr>
      <w:rFonts w:ascii="Liberation Sans" w:hAnsi="Liberation Sans" w:eastAsia="Microsoft YaHei" w:cs="Arial"/>
      <w:sz w:val="28"/>
      <w:szCs w:val="28"/>
    </w:rPr>
  </w:style>
  <w:style w:type="paragraph" w:styleId="Ndice">
    <w:name w:val="Índice"/>
    <w:basedOn w:val="Normal"/>
    <w:qFormat/>
    <w:pPr>
      <w:suppressLineNumbers/>
    </w:pPr>
    <w:rPr>
      <w:rFonts w:cs="Arial"/>
    </w:rPr>
  </w:style>
  <w:style w:type="paragraph" w:styleId="Bodytext31" w:customStyle="1">
    <w:name w:val="Body text (3)"/>
    <w:basedOn w:val="Normal"/>
    <w:link w:val="Bodytext3"/>
    <w:qFormat/>
    <w:rsid w:val="00d73fd8"/>
    <w:pPr>
      <w:shd w:val="clear" w:color="auto" w:fill="FFFFFF"/>
      <w:spacing w:lineRule="exact" w:line="268" w:before="0" w:after="820"/>
      <w:jc w:val="center"/>
    </w:pPr>
    <w:rPr>
      <w:rFonts w:ascii="Arial" w:hAnsi="Arial" w:eastAsia="Arial" w:cs="Arial"/>
      <w:b/>
      <w:bCs/>
    </w:rPr>
  </w:style>
  <w:style w:type="paragraph" w:styleId="Bodytext22" w:customStyle="1">
    <w:name w:val="Body text (2)"/>
    <w:basedOn w:val="Normal"/>
    <w:link w:val="Bodytext2"/>
    <w:qFormat/>
    <w:rsid w:val="00d73fd8"/>
    <w:pPr>
      <w:shd w:val="clear" w:color="auto" w:fill="FFFFFF"/>
      <w:spacing w:lineRule="exact" w:line="278" w:before="820" w:after="200"/>
      <w:ind w:hanging="360"/>
    </w:pPr>
    <w:rPr>
      <w:rFonts w:ascii="Arial" w:hAnsi="Arial" w:eastAsia="Arial" w:cs="Arial"/>
      <w:b/>
      <w:bCs/>
      <w:sz w:val="15"/>
      <w:szCs w:val="15"/>
    </w:rPr>
  </w:style>
  <w:style w:type="paragraph" w:styleId="Heading421" w:customStyle="1">
    <w:name w:val="Heading #4 (2)"/>
    <w:basedOn w:val="Normal"/>
    <w:link w:val="Heading42"/>
    <w:qFormat/>
    <w:rsid w:val="00d73fd8"/>
    <w:pPr>
      <w:shd w:val="clear" w:color="auto" w:fill="FFFFFF"/>
      <w:spacing w:lineRule="exact" w:line="168" w:before="0" w:after="300"/>
      <w:jc w:val="both"/>
      <w:outlineLvl w:val="3"/>
    </w:pPr>
    <w:rPr>
      <w:rFonts w:ascii="Arial" w:hAnsi="Arial" w:eastAsia="Arial" w:cs="Arial"/>
      <w:b/>
      <w:bCs/>
      <w:sz w:val="15"/>
      <w:szCs w:val="15"/>
    </w:rPr>
  </w:style>
  <w:style w:type="paragraph" w:styleId="Heading11" w:customStyle="1">
    <w:name w:val="Heading #1"/>
    <w:basedOn w:val="Normal"/>
    <w:link w:val="Heading1"/>
    <w:qFormat/>
    <w:rsid w:val="00d73fd8"/>
    <w:pPr>
      <w:shd w:val="clear" w:color="auto" w:fill="FFFFFF"/>
      <w:spacing w:lineRule="exact" w:line="312"/>
      <w:outlineLvl w:val="0"/>
    </w:pPr>
    <w:rPr>
      <w:rFonts w:ascii="Arial" w:hAnsi="Arial" w:eastAsia="Arial" w:cs="Arial"/>
      <w:sz w:val="28"/>
      <w:szCs w:val="28"/>
    </w:rPr>
  </w:style>
  <w:style w:type="paragraph" w:styleId="Heading41" w:customStyle="1">
    <w:name w:val="Heading #4"/>
    <w:basedOn w:val="Normal"/>
    <w:link w:val="Heading4"/>
    <w:qFormat/>
    <w:rsid w:val="00d73fd8"/>
    <w:pPr>
      <w:shd w:val="clear" w:color="auto" w:fill="FFFFFF"/>
      <w:spacing w:lineRule="exact" w:line="178" w:before="240" w:after="380"/>
      <w:ind w:hanging="300"/>
      <w:outlineLvl w:val="3"/>
    </w:pPr>
    <w:rPr>
      <w:rFonts w:ascii="Arial" w:hAnsi="Arial" w:eastAsia="Arial" w:cs="Arial"/>
      <w:b/>
      <w:bCs/>
      <w:sz w:val="16"/>
      <w:szCs w:val="16"/>
    </w:rPr>
  </w:style>
  <w:style w:type="paragraph" w:styleId="Bodytext42" w:customStyle="1">
    <w:name w:val="Body text (4)"/>
    <w:basedOn w:val="Normal"/>
    <w:link w:val="Bodytext4"/>
    <w:qFormat/>
    <w:rsid w:val="00d73fd8"/>
    <w:pPr>
      <w:shd w:val="clear" w:color="auto" w:fill="FFFFFF"/>
      <w:spacing w:lineRule="exact" w:line="146" w:before="380" w:after="240"/>
      <w:ind w:hanging="300"/>
    </w:pPr>
    <w:rPr>
      <w:rFonts w:ascii="Arial" w:hAnsi="Arial" w:eastAsia="Arial" w:cs="Arial"/>
      <w:b/>
      <w:bCs/>
      <w:sz w:val="13"/>
      <w:szCs w:val="13"/>
    </w:rPr>
  </w:style>
  <w:style w:type="paragraph" w:styleId="Heading31" w:customStyle="1">
    <w:name w:val="Heading #3"/>
    <w:basedOn w:val="Normal"/>
    <w:link w:val="Heading3"/>
    <w:qFormat/>
    <w:rsid w:val="00d73fd8"/>
    <w:pPr>
      <w:shd w:val="clear" w:color="auto" w:fill="FFFFFF"/>
      <w:spacing w:lineRule="exact" w:line="310" w:before="240" w:after="0"/>
      <w:outlineLvl w:val="2"/>
    </w:pPr>
    <w:rPr>
      <w:rFonts w:ascii="Arial" w:hAnsi="Arial" w:eastAsia="Arial" w:cs="Arial"/>
      <w:sz w:val="21"/>
      <w:szCs w:val="21"/>
    </w:rPr>
  </w:style>
  <w:style w:type="paragraph" w:styleId="Headerorfooter2" w:customStyle="1">
    <w:name w:val="Header or footer"/>
    <w:basedOn w:val="Normal"/>
    <w:link w:val="Headerorfooter"/>
    <w:qFormat/>
    <w:rsid w:val="00d73fd8"/>
    <w:pPr>
      <w:shd w:val="clear" w:color="auto" w:fill="FFFFFF"/>
      <w:spacing w:lineRule="exact" w:line="134"/>
    </w:pPr>
    <w:rPr>
      <w:rFonts w:ascii="Arial" w:hAnsi="Arial" w:eastAsia="Arial" w:cs="Arial"/>
      <w:b/>
      <w:bCs/>
      <w:sz w:val="12"/>
      <w:szCs w:val="12"/>
    </w:rPr>
  </w:style>
  <w:style w:type="paragraph" w:styleId="Bodytext51" w:customStyle="1">
    <w:name w:val="Body text (5)"/>
    <w:basedOn w:val="Normal"/>
    <w:link w:val="Bodytext5"/>
    <w:qFormat/>
    <w:rsid w:val="00d73fd8"/>
    <w:pPr>
      <w:shd w:val="clear" w:color="auto" w:fill="FFFFFF"/>
      <w:spacing w:lineRule="exact" w:line="112" w:before="2400" w:after="180"/>
    </w:pPr>
    <w:rPr>
      <w:rFonts w:ascii="Arial" w:hAnsi="Arial" w:eastAsia="Arial" w:cs="Arial"/>
      <w:sz w:val="10"/>
      <w:szCs w:val="10"/>
    </w:rPr>
  </w:style>
  <w:style w:type="paragraph" w:styleId="Heading21" w:customStyle="1">
    <w:name w:val="Heading #2"/>
    <w:basedOn w:val="Normal"/>
    <w:link w:val="Heading2"/>
    <w:qFormat/>
    <w:rsid w:val="00d73fd8"/>
    <w:pPr>
      <w:shd w:val="clear" w:color="auto" w:fill="FFFFFF"/>
      <w:spacing w:lineRule="exact" w:line="178" w:before="2240" w:after="120"/>
      <w:ind w:hanging="300"/>
      <w:outlineLvl w:val="1"/>
    </w:pPr>
    <w:rPr>
      <w:rFonts w:ascii="Arial" w:hAnsi="Arial" w:eastAsia="Arial" w:cs="Arial"/>
      <w:b/>
      <w:bCs/>
      <w:sz w:val="16"/>
      <w:szCs w:val="16"/>
    </w:rPr>
  </w:style>
  <w:style w:type="paragraph" w:styleId="Heading321" w:customStyle="1">
    <w:name w:val="Heading #3 (2)"/>
    <w:basedOn w:val="Normal"/>
    <w:link w:val="Heading32"/>
    <w:qFormat/>
    <w:rsid w:val="00d73fd8"/>
    <w:pPr>
      <w:shd w:val="clear" w:color="auto" w:fill="FFFFFF"/>
      <w:spacing w:lineRule="exact" w:line="234" w:before="120" w:after="120"/>
      <w:ind w:hanging="300"/>
      <w:outlineLvl w:val="2"/>
    </w:pPr>
    <w:rPr>
      <w:rFonts w:ascii="Arial" w:hAnsi="Arial" w:eastAsia="Arial" w:cs="Arial"/>
      <w:sz w:val="21"/>
      <w:szCs w:val="21"/>
    </w:rPr>
  </w:style>
  <w:style w:type="paragraph" w:styleId="Bodytext61" w:customStyle="1">
    <w:name w:val="Body text (6)"/>
    <w:basedOn w:val="Normal"/>
    <w:link w:val="Bodytext6"/>
    <w:qFormat/>
    <w:rsid w:val="00d73fd8"/>
    <w:pPr>
      <w:shd w:val="clear" w:color="auto" w:fill="FFFFFF"/>
      <w:spacing w:lineRule="exact" w:line="290" w:before="260" w:after="0"/>
      <w:jc w:val="both"/>
    </w:pPr>
    <w:rPr>
      <w:rFonts w:ascii="Arial" w:hAnsi="Arial" w:eastAsia="Arial" w:cs="Arial"/>
      <w:b/>
      <w:bCs/>
      <w:sz w:val="15"/>
      <w:szCs w:val="15"/>
    </w:rPr>
  </w:style>
  <w:style w:type="paragraph" w:styleId="Bodytext71" w:customStyle="1">
    <w:name w:val="Body text (7)"/>
    <w:basedOn w:val="Normal"/>
    <w:link w:val="Bodytext7"/>
    <w:qFormat/>
    <w:rsid w:val="00d73fd8"/>
    <w:pPr>
      <w:shd w:val="clear" w:color="auto" w:fill="FFFFFF"/>
      <w:spacing w:lineRule="exact" w:line="156" w:before="240" w:after="0"/>
    </w:pPr>
    <w:rPr>
      <w:rFonts w:ascii="Arial" w:hAnsi="Arial" w:eastAsia="Arial" w:cs="Arial"/>
      <w:b/>
      <w:bCs/>
      <w:sz w:val="14"/>
      <w:szCs w:val="14"/>
    </w:rPr>
  </w:style>
  <w:style w:type="paragraph" w:styleId="BalloonText">
    <w:name w:val="Balloon Text"/>
    <w:basedOn w:val="Normal"/>
    <w:link w:val="BalloonTextChar"/>
    <w:uiPriority w:val="99"/>
    <w:semiHidden/>
    <w:unhideWhenUsed/>
    <w:qFormat/>
    <w:rsid w:val="008669fe"/>
    <w:pPr/>
    <w:rPr>
      <w:rFonts w:ascii="Tahoma" w:hAnsi="Tahoma" w:cs="Tahoma"/>
      <w:sz w:val="16"/>
      <w:szCs w:val="16"/>
    </w:rPr>
  </w:style>
  <w:style w:type="paragraph" w:styleId="Cabealhoerodap">
    <w:name w:val="Cabeçalho e rodapé"/>
    <w:basedOn w:val="Normal"/>
    <w:qFormat/>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994bcb"/>
    <w:pPr>
      <w:tabs>
        <w:tab w:val="clear" w:pos="720"/>
        <w:tab w:val="center" w:pos="4536" w:leader="none"/>
        <w:tab w:val="right" w:pos="9072" w:leader="none"/>
      </w:tabs>
    </w:pPr>
    <w:rPr/>
  </w:style>
  <w:style w:type="paragraph" w:styleId="Footer">
    <w:name w:val="Footer"/>
    <w:basedOn w:val="Normal"/>
    <w:link w:val="FooterChar"/>
    <w:uiPriority w:val="99"/>
    <w:unhideWhenUsed/>
    <w:rsid w:val="00994bcb"/>
    <w:pPr>
      <w:tabs>
        <w:tab w:val="clear" w:pos="720"/>
        <w:tab w:val="center" w:pos="4536" w:leader="none"/>
        <w:tab w:val="right" w:pos="9072" w:leader="none"/>
      </w:tabs>
    </w:pPr>
    <w:rPr/>
  </w:style>
  <w:style w:type="paragraph" w:styleId="ListParagraph">
    <w:name w:val="List Paragraph"/>
    <w:basedOn w:val="Normal"/>
    <w:uiPriority w:val="34"/>
    <w:qFormat/>
    <w:rsid w:val="00e421a0"/>
    <w:pPr>
      <w:spacing w:before="0" w:after="0"/>
      <w:ind w:left="720" w:hanging="0"/>
      <w:contextualSpacing/>
    </w:pPr>
    <w:rPr/>
  </w:style>
  <w:style w:type="paragraph" w:styleId="Annotationtext">
    <w:name w:val="annotation text"/>
    <w:basedOn w:val="Normal"/>
    <w:link w:val="CommentTextChar"/>
    <w:uiPriority w:val="99"/>
    <w:semiHidden/>
    <w:unhideWhenUsed/>
    <w:qFormat/>
    <w:rsid w:val="00fd36ab"/>
    <w:pPr/>
    <w:rPr>
      <w:sz w:val="20"/>
      <w:szCs w:val="20"/>
    </w:rPr>
  </w:style>
  <w:style w:type="paragraph" w:styleId="Annotationsubject">
    <w:name w:val="annotation subject"/>
    <w:basedOn w:val="Annotationtext"/>
    <w:next w:val="Annotationtext"/>
    <w:link w:val="CommentSubjectChar"/>
    <w:uiPriority w:val="99"/>
    <w:semiHidden/>
    <w:unhideWhenUsed/>
    <w:qFormat/>
    <w:rsid w:val="00fd36ab"/>
    <w:pPr/>
    <w:rPr>
      <w:b/>
      <w:bCs/>
    </w:rPr>
  </w:style>
  <w:style w:type="paragraph" w:styleId="Contedodamoldura">
    <w:name w:val="Conteúdo da moldura"/>
    <w:basedOn w:val="Normal"/>
    <w:qFormat/>
    <w:pPr/>
    <w:rPr/>
  </w:style>
  <w:style w:type="paragraph" w:styleId="FrameContents">
    <w:name w:val="Frame Contents"/>
    <w:basedOn w:val="Normal"/>
    <w:qFormat/>
    <w:pPr/>
    <w:rPr/>
  </w:style>
  <w:style w:type="numbering" w:styleId="NoList" w:default="1">
    <w:name w:val="No List"/>
    <w:semiHidden/>
    <w:unhideWhenUsed/>
    <w:qFormat/>
  </w:style>
  <w:style w:type="table" w:default="1" w:styleId="TableNormal">
    <w:name w:val="Normal Table"/>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994bcb"/>
    <w:rPr>
      <w:rFonts w:asciiTheme="minorHAnsi" w:hAnsiTheme="minorHAnsi" w:eastAsiaTheme="minorHAnsi" w:cstheme="minorBidi"/>
      <w:sz w:val="22"/>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europa.eu/europedirect/index_en.htm" TargetMode="External"/><Relationship Id="rId3" Type="http://schemas.openxmlformats.org/officeDocument/2006/relationships/hyperlink" Target="http://europa.eu/youreurope/citizens/index_en.htm" TargetMode="External"/><Relationship Id="rId4" Type="http://schemas.openxmlformats.org/officeDocument/2006/relationships/hyperlink" Target="https://e-justice.europa.eu/home.do" TargetMode="External"/><Relationship Id="rId5" Type="http://schemas.openxmlformats.org/officeDocument/2006/relationships/hyperlink" Target="http://www.ombudsman.europa.eu/en/atyourservice/nationalombudsmen.faces" TargetMode="External"/><Relationship Id="rId6" Type="http://schemas.openxmlformats.org/officeDocument/2006/relationships/hyperlink" Target="http://www.ombudsman.europa.eu/en/atyourservice/regionalombudsmen.faces" TargetMode="External"/><Relationship Id="rId7" Type="http://schemas.openxmlformats.org/officeDocument/2006/relationships/hyperlink" Target="https://e-justice.europa.eu/home.do?action=home&amp;plang=en&amp;init=true" TargetMode="External"/><Relationship Id="rId8" Type="http://schemas.openxmlformats.org/officeDocument/2006/relationships/hyperlink" Target="http://ec.europa.eu/solvit/index_en.htm" TargetMode="External"/><Relationship Id="rId9" Type="http://schemas.openxmlformats.org/officeDocument/2006/relationships/hyperlink" Target="http://ec.europa.eu/consumers/ecc/contact_en.htm" TargetMode="External"/><Relationship Id="rId10" Type="http://schemas.openxmlformats.org/officeDocument/2006/relationships/hyperlink" Target="http://ec.europa.eu/internal_market/fin-net/index_en.htm" TargetMode="External"/><Relationship Id="rId11" Type="http://schemas.openxmlformats.org/officeDocument/2006/relationships/hyperlink" Target="http://eur-lex.europa.eu/legal-content/EN/TXT/?uri=uriserv:OJ.C_.2012.326.01.0001.01.ENG" TargetMode="External"/><Relationship Id="rId12" Type="http://schemas.openxmlformats.org/officeDocument/2006/relationships/hyperlink" Target="http://www.europarl.europa.eu/aboutparliament/en/00533cec74/Petitions.html" TargetMode="External"/><Relationship Id="rId13" Type="http://schemas.openxmlformats.org/officeDocument/2006/relationships/hyperlink" Target="http://www.europarl.europa.eu/aboutparliament/en/00533cec74/Petitions.html" TargetMode="External"/><Relationship Id="rId14" Type="http://schemas.openxmlformats.org/officeDocument/2006/relationships/hyperlink" Target="http://ec.europa.eu/justice/citizen/complaints/petition/index_en.htm" TargetMode="External"/><Relationship Id="rId15" Type="http://schemas.openxmlformats.org/officeDocument/2006/relationships/hyperlink" Target="http://www.ombudsman.europa.eu/home.faces" TargetMode="External"/><Relationship Id="rId16" Type="http://schemas.openxmlformats.org/officeDocument/2006/relationships/hyperlink" Target="http://eur-lex.europa.eu/legal-content/EN/TXT/?uri=uriserv:OJ.C_.2012.326.01.0001.01.ENG" TargetMode="External"/><Relationship Id="rId17" Type="http://schemas.openxmlformats.org/officeDocument/2006/relationships/hyperlink" Target="http://ec.europa.eu/dgs/translation/translating/officiallanguages/index_en.htm" TargetMode="External"/><Relationship Id="rId18" Type="http://schemas.openxmlformats.org/officeDocument/2006/relationships/hyperlink" Target="http://ec.europa.eu/dgs/translation/translating/officiallanguages/index_en.htm" TargetMode="External"/><Relationship Id="rId19" Type="http://schemas.openxmlformats.org/officeDocument/2006/relationships/hyperlink" Target="http://eur-lex.europa.eu/legal-content/EN/TXT/?uri=uriserv:OJ.C_.2017.018.01.0010.01.ENG&amp;toc=OJ:C:2017:018:TOC" TargetMode="External"/><Relationship Id="rId20" Type="http://schemas.openxmlformats.org/officeDocument/2006/relationships/hyperlink" Target="mailto:SG-PLAINTES@ec.europa.eu" TargetMode="External"/><Relationship Id="rId21" Type="http://schemas.openxmlformats.org/officeDocument/2006/relationships/hyperlink" Target="http://ec.europa.eu/represent_en.htm" TargetMode="External"/><Relationship Id="rId22" Type="http://schemas.openxmlformats.org/officeDocument/2006/relationships/hyperlink" Target="http://europa.eu/rapid/press-release_IP-17-5109_en.htm" TargetMode="External"/><Relationship Id="rId23" Type="http://schemas.openxmlformats.org/officeDocument/2006/relationships/hyperlink" Target="http://ec.europa.eu/atwork/applying-eu-law/complaints_receipt_en.htm" TargetMode="External"/><Relationship Id="rId24" Type="http://schemas.openxmlformats.org/officeDocument/2006/relationships/hyperlink" Target="http://ec.europa.eu/atwork/applying-eu-law/complaints_decisions_en.htm" TargetMode="External"/><Relationship Id="rId25" Type="http://schemas.openxmlformats.org/officeDocument/2006/relationships/image" Target="media/image1.png"/><Relationship Id="rId26" Type="http://schemas.openxmlformats.org/officeDocument/2006/relationships/hyperlink" Target="https://ec.europa.eu/assets/sg/report-a-breach/complaints_en/" TargetMode="External"/><Relationship Id="rId27" Type="http://schemas.openxmlformats.org/officeDocument/2006/relationships/hyperlink" Target="mailto:geral@apambiente.pt" TargetMode="External"/><Relationship Id="rId28" Type="http://schemas.openxmlformats.org/officeDocument/2006/relationships/hyperlink" Target="mailto:sg@sgambiente.gov.pt" TargetMode="External"/><Relationship Id="rId29" Type="http://schemas.openxmlformats.org/officeDocument/2006/relationships/hyperlink" Target="mailto:comunicacao@portodesetubal.pt" TargetMode="External"/><Relationship Id="rId30" Type="http://schemas.openxmlformats.org/officeDocument/2006/relationships/image" Target="media/image2.png"/><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Relationship Id="rId3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D4460-60E7-3147-A3D1-9EC16D61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Application>LibreOffice/6.3.3.2$MacOSX_X86_64 LibreOffice_project/a64200df03143b798afd1ec74a12ab50359878ed</Application>
  <Pages>10</Pages>
  <Words>3907</Words>
  <Characters>21075</Characters>
  <CharactersWithSpaces>24877</CharactersWithSpaces>
  <Paragraphs>188</Paragraphs>
  <Company>European Commission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2020-03-02T18:13:00Z</dcterms:created>
  <dc:creator>C3 Ela</dc:creator>
  <dc:description/>
  <dc:language>pt-PT</dc:language>
  <cp:lastModifiedBy/>
  <cp:lastPrinted>2016-11-22T17:28:00Z</cp:lastPrinted>
  <dcterms:modified xsi:type="dcterms:W3CDTF">2020-03-04T00:00:08Z</dcterms:modified>
  <cp:revision>13</cp:revision>
  <dc:subject/>
  <dc:title>untitled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anager">
    <vt:lpwstr>SG-PLAINTES@ec.europa.eu</vt:lpwstr>
  </property>
  <property fmtid="{D5CDD505-2E9C-101B-9397-08002B2CF9AE}" pid="8" name="ScaleCrop">
    <vt:bool>0</vt:bool>
  </property>
  <property fmtid="{D5CDD505-2E9C-101B-9397-08002B2CF9AE}" pid="9" name="ShareDoc">
    <vt:bool>0</vt:bool>
  </property>
</Properties>
</file>